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60" w:after="0"/>
        <w:rPr>
          <w:highlight w:val="none"/>
          <w:shd w:fill="auto" w:val="clear"/>
        </w:rPr>
      </w:pPr>
      <w:r>
        <w:rPr>
          <w:shd w:fill="auto" w:val="clear"/>
        </w:rPr>
      </w:r>
    </w:p>
    <w:p>
      <w:pPr>
        <w:pStyle w:val="Normal"/>
        <w:widowControl w:val="false"/>
        <w:spacing w:before="0" w:after="0"/>
        <w:contextualSpacing/>
        <w:jc w:val="center"/>
        <w:rPr>
          <w:highlight w:val="none"/>
          <w:shd w:fill="auto" w:val="clear"/>
        </w:rPr>
      </w:pPr>
      <w:r>
        <w:rPr>
          <w:rFonts w:cs="Liberation Serif" w:ascii="Liberation Serif" w:hAnsi="Liberation Serif"/>
          <w:b/>
          <w:sz w:val="25"/>
          <w:szCs w:val="25"/>
          <w:shd w:fill="auto" w:val="clear"/>
        </w:rPr>
        <w:t xml:space="preserve">ТЕХНИЧЕСКИЕ ТРЕБОВАНИЯ </w:t>
      </w:r>
    </w:p>
    <w:p>
      <w:pPr>
        <w:pStyle w:val="Normal"/>
        <w:widowControl w:val="false"/>
        <w:spacing w:before="0" w:after="0"/>
        <w:ind w:left="283" w:hanging="0"/>
        <w:contextualSpacing/>
        <w:jc w:val="center"/>
        <w:rPr>
          <w:highlight w:val="none"/>
          <w:shd w:fill="auto" w:val="clear"/>
        </w:rPr>
      </w:pPr>
      <w:r>
        <w:rPr>
          <w:rFonts w:cs="Liberation Serif" w:ascii="Liberation Serif" w:hAnsi="Liberation Serif"/>
          <w:b/>
          <w:bCs/>
          <w:sz w:val="25"/>
          <w:szCs w:val="25"/>
          <w:shd w:fill="auto" w:val="clear"/>
        </w:rPr>
        <w:t>на проектно-изыскательские работы по объекту</w:t>
      </w:r>
      <w:r>
        <w:rPr>
          <w:rFonts w:cs="Liberation Serif" w:ascii="Liberation Serif" w:hAnsi="Liberation Serif"/>
          <w:b/>
          <w:color w:val="000000" w:themeColor="text1"/>
          <w:sz w:val="25"/>
          <w:szCs w:val="25"/>
          <w:shd w:fill="auto" w:val="clear"/>
        </w:rPr>
        <w:t xml:space="preserve"> «Строительство ПС 110/6 Советская (2х6,3 МВА) и двух ЛЭП 110 кВ от ЛЭП 110 кВ «Находка — Учебная №1» и «Находка -Учебная №2» ориентировочной протяженностью 0,9 км каждая» (</w:t>
      </w:r>
      <w:r>
        <w:rPr>
          <w:rFonts w:cs="Liberation Serif" w:ascii="Liberation Serif" w:hAnsi="Liberation Serif"/>
          <w:b/>
          <w:color w:val="000000" w:themeColor="text1"/>
          <w:sz w:val="25"/>
          <w:szCs w:val="25"/>
          <w:shd w:fill="auto" w:val="clear"/>
        </w:rPr>
        <w:t>O_25-ПЭС-5747</w:t>
      </w:r>
      <w:r>
        <w:rPr>
          <w:rFonts w:cs="Liberation Serif" w:ascii="Liberation Serif" w:hAnsi="Liberation Serif"/>
          <w:b/>
          <w:color w:val="000000" w:themeColor="text1"/>
          <w:sz w:val="25"/>
          <w:szCs w:val="25"/>
          <w:shd w:fill="auto" w:val="clear"/>
        </w:rPr>
        <w:t>)</w:t>
      </w:r>
    </w:p>
    <w:p>
      <w:pPr>
        <w:pStyle w:val="Normal"/>
        <w:widowControl w:val="false"/>
        <w:spacing w:before="0" w:after="0"/>
        <w:ind w:left="283" w:hanging="0"/>
        <w:contextualSpacing/>
        <w:jc w:val="center"/>
        <w:rPr>
          <w:highlight w:val="none"/>
          <w:shd w:fill="auto" w:val="clear"/>
        </w:rPr>
      </w:pPr>
      <w:r>
        <w:rPr>
          <w:rFonts w:cs="Liberation Serif" w:ascii="Liberation Serif" w:hAnsi="Liberation Serif"/>
          <w:b/>
          <w:bCs/>
          <w:sz w:val="25"/>
          <w:szCs w:val="25"/>
          <w:shd w:fill="auto" w:val="clear"/>
        </w:rPr>
        <w:t xml:space="preserve"> </w:t>
      </w:r>
    </w:p>
    <w:p>
      <w:pPr>
        <w:pStyle w:val="Normal"/>
        <w:widowControl w:val="false"/>
        <w:spacing w:before="0" w:after="0"/>
        <w:ind w:firstLine="709"/>
        <w:contextualSpacing/>
        <w:rPr>
          <w:highlight w:val="none"/>
          <w:shd w:fill="auto" w:val="clear"/>
        </w:rPr>
      </w:pPr>
      <w:r>
        <w:rPr>
          <w:rFonts w:cs="Liberation Serif" w:ascii="Liberation Serif" w:hAnsi="Liberation Serif"/>
          <w:b/>
          <w:sz w:val="25"/>
          <w:szCs w:val="25"/>
          <w:shd w:fill="auto" w:val="clear"/>
          <w:lang w:bidi="ru-RU"/>
        </w:rPr>
        <w:t>1. Конструктивно-планировочные решения для ПС</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lang w:bidi="ru-RU"/>
        </w:rPr>
        <w:t xml:space="preserve">1.1. </w:t>
      </w:r>
      <w:r>
        <w:rPr>
          <w:rFonts w:cs="Liberation Serif" w:ascii="Liberation Serif" w:hAnsi="Liberation Serif"/>
          <w:color w:val="000000" w:themeColor="text1"/>
          <w:sz w:val="25"/>
          <w:szCs w:val="25"/>
          <w:shd w:fill="auto" w:val="clear"/>
        </w:rPr>
        <w:t>Разработать и согласовать с Заказчиком технические решения по строительству ПС 110/6 кВ Советская с установкой силовых трансформаторов мощностью 6,3 МВА в количестве 2 шт.</w:t>
      </w:r>
    </w:p>
    <w:p>
      <w:pPr>
        <w:pStyle w:val="Normal"/>
        <w:widowControl w:val="false"/>
        <w:spacing w:before="0" w:after="0"/>
        <w:ind w:firstLine="709"/>
        <w:contextualSpacing/>
        <w:rPr>
          <w:highlight w:val="none"/>
          <w:shd w:fill="auto" w:val="clear"/>
        </w:rPr>
      </w:pPr>
      <w:r>
        <w:rPr>
          <w:rFonts w:ascii="Liberation Serif" w:hAnsi="Liberation Serif"/>
          <w:sz w:val="25"/>
          <w:szCs w:val="25"/>
          <w:shd w:fill="auto" w:val="clear"/>
        </w:rPr>
        <w:t>1.2. Для подключения ПС к сети предусмотреть строительство двух ЛЭП 110 кВ от существующей ВЛ 110 кВ Находка — Учебная №1 и ВЛ 110 кВ Находка – Учебная №2 по схеме «ответвлений» до проектируемой ПС 110/6 кВ Советская общей ориентировочной длинной 1,8 км кабелем с изоляцией из сшитого полиэтилена с сечением жил не менее 185 мм</w:t>
      </w:r>
      <w:r>
        <w:rPr>
          <w:rFonts w:ascii="Liberation Serif" w:hAnsi="Liberation Serif"/>
          <w:sz w:val="25"/>
          <w:szCs w:val="25"/>
          <w:shd w:fill="auto" w:val="clear"/>
          <w:vertAlign w:val="superscript"/>
        </w:rPr>
        <w:t xml:space="preserve">2 </w:t>
      </w:r>
      <w:r>
        <w:rPr>
          <w:rFonts w:ascii="Liberation Serif" w:hAnsi="Liberation Serif"/>
          <w:sz w:val="25"/>
          <w:szCs w:val="25"/>
          <w:shd w:fill="auto" w:val="clear"/>
        </w:rPr>
        <w:t>с двойной герметизацией и медным экраном каждая ЛЭП 110 кВ в том числе: ответвление от ВЛ 110 кВ Находка — Учебная №1 ориентировочной протяженностью 0,9 км и ответвление от ВЛ 110 кВ Находка – Учебная №2  ориентировочной протяженностью 0,9 км.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1.3. Предусмотреть строительство проектируемых ЛЭП 110 кВ в кабельном исполнении.</w:t>
      </w:r>
    </w:p>
    <w:p>
      <w:pPr>
        <w:pStyle w:val="Normal"/>
        <w:widowControl w:val="false"/>
        <w:spacing w:before="0" w:after="0"/>
        <w:ind w:firstLine="709"/>
        <w:contextualSpacing/>
        <w:rPr>
          <w:highlight w:val="none"/>
          <w:shd w:fill="auto" w:val="clear"/>
        </w:rPr>
      </w:pPr>
      <w:r>
        <w:rPr>
          <w:rFonts w:ascii="Liberation Serif" w:hAnsi="Liberation Serif"/>
          <w:sz w:val="25"/>
          <w:szCs w:val="25"/>
          <w:shd w:fill="auto" w:val="clear"/>
        </w:rPr>
        <w:t>1.4. Реконструкция ВЛ 110 кВ Находка — Учебная №1 и ВЛ 110 кВ Находка – Учебная №2 с монтажом узлов подключения к ним строящихся ЛЭП 110 кВ.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1.5. Схему электрических соединений РУ 110 кВ принять: № 110-4Н «Два блока с выключателями и неавтоматической перемычкой со стороны линий». Уточнить при проектировании.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1.6. Исполнение РУ 110 кВ принять: открытое распределительное устройство с применением заводских блоков высокой готовности.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1.7. Схему электрических соединений РУ 6 кВ принять № 6-1 «Одна, секционированная выключателем, система шин». Тип схемы и количество линейных ячеек уточнить при проектировании.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1.7.1. В РУ 6 кВ предусмотреть 4 линейные ячейки 6 кВ (по 2 на секцию), а так же 4 свободных места под резервные ячейки (по 2 на секцию)).</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1.8. Исполнение РУ 6 кВ принять: комплектное распределительное устройство внутренней установки, с коридором обслуживания, шкафами двухстороннего обслуживания в модульном здании (БМЗ). В здании предусмотреть место для ремонтно-эксплуатационной зоны оборудования. Вводы шинных мостов в здание РУ 6 кВ предусмотреть боковые. Уточняется при проектировании.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1.9. </w:t>
      </w:r>
      <w:r>
        <w:rPr>
          <w:rFonts w:eastAsia="Arial Unicode MS" w:cs="Liberation Serif" w:ascii="Liberation Serif" w:hAnsi="Liberation Serif"/>
          <w:sz w:val="25"/>
          <w:szCs w:val="25"/>
          <w:shd w:fill="auto" w:val="clear"/>
          <w:lang w:bidi="ru-RU"/>
        </w:rPr>
        <w:t>Предусмотреть установку модульного здания ОПУ для размещения шкафов РЗА, собственных нужд, оперативного тока, учета электрической энергии, оборудования СДТУ, организации рабочего места оперативного персонала.</w:t>
      </w:r>
    </w:p>
    <w:p>
      <w:pPr>
        <w:pStyle w:val="Normal"/>
        <w:widowControl w:val="false"/>
        <w:spacing w:before="0" w:after="0"/>
        <w:ind w:firstLine="709"/>
        <w:contextualSpacing/>
        <w:rPr>
          <w:highlight w:val="none"/>
          <w:shd w:fill="auto" w:val="clear"/>
        </w:rPr>
      </w:pPr>
      <w:r>
        <w:rPr>
          <w:rFonts w:eastAsia="Arial Unicode MS" w:cs="Liberation Serif" w:ascii="Liberation Serif" w:hAnsi="Liberation Serif"/>
          <w:sz w:val="25"/>
          <w:szCs w:val="25"/>
          <w:shd w:fill="auto" w:val="clear"/>
          <w:lang w:bidi="ru-RU"/>
        </w:rPr>
        <w:t>1.10. Для БМЗ КРУ-6 кВ и ОПУ предусмотреть наличие систем кондиционирования, обогрева и вентиляции.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1.11. Внутреннее электрическое освещение должно выполняться в соответствии с требованиями СНиП, ПУЭ и современных энергосберегающих технологий.</w:t>
      </w:r>
    </w:p>
    <w:p>
      <w:pPr>
        <w:pStyle w:val="Normal"/>
        <w:spacing w:before="60" w:after="120"/>
        <w:ind w:firstLine="709"/>
        <w:contextualSpacing/>
        <w:rPr>
          <w:highlight w:val="none"/>
          <w:shd w:fill="auto" w:val="clear"/>
        </w:rPr>
      </w:pPr>
      <w:r>
        <w:rPr>
          <w:rFonts w:cs="Liberation Serif" w:ascii="Liberation Serif" w:hAnsi="Liberation Serif"/>
          <w:color w:val="000000" w:themeColor="text1"/>
          <w:sz w:val="25"/>
          <w:szCs w:val="25"/>
          <w:shd w:fill="auto" w:val="clear"/>
        </w:rPr>
        <w:t>1.12.  Все применяемые металлоконструкции, расположенные на открытом воздухе должны быть защищены от коррозии методом горячего оцинкования, выполненного в заводских условиях.</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1.13. Выполнить расчет и проектирование контура заземления, молниезащиты и защиту от атмосферных и внутренних перенапряжений.</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1.14. Предусмотреть систему охранного видеонаблюдения.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1.15.</w:t>
      </w:r>
      <w:r>
        <w:rPr>
          <w:rFonts w:cs="Liberation Serif" w:ascii="Liberation Serif" w:hAnsi="Liberation Serif"/>
          <w:sz w:val="25"/>
          <w:szCs w:val="25"/>
          <w:shd w:fill="auto" w:val="clear"/>
        </w:rPr>
        <w:t xml:space="preserve"> </w:t>
      </w:r>
      <w:r>
        <w:rPr>
          <w:rFonts w:cs="Liberation Serif" w:ascii="Liberation Serif" w:hAnsi="Liberation Serif"/>
          <w:color w:val="000000" w:themeColor="text1"/>
          <w:sz w:val="25"/>
          <w:szCs w:val="25"/>
          <w:shd w:fill="auto" w:val="clear"/>
        </w:rPr>
        <w:t>Прокладку кабельной продукции (силовых и контрольных кабелей) выполнить в поверхностных железобетонных лотках с учетом организации проезда по территории ПС.</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1.16. Предусмотреть оперативную блокировку. </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1.17. Выполнить расчет емкостных токов в прилегающей сети 6 кВ, определить необходимость и разработать мероприятия по их компенсации и выбору компенсирующих устройств.</w:t>
      </w:r>
    </w:p>
    <w:p>
      <w:pPr>
        <w:pStyle w:val="Normal"/>
        <w:widowControl w:val="false"/>
        <w:spacing w:before="0" w:after="0"/>
        <w:ind w:firstLine="709"/>
        <w:contextualSpacing/>
        <w:rPr>
          <w:rFonts w:ascii="Liberation Serif" w:hAnsi="Liberation Serif" w:cs="Liberation Serif"/>
          <w:b/>
          <w:bCs/>
          <w:color w:val="000000" w:themeColor="text1"/>
          <w:sz w:val="25"/>
          <w:szCs w:val="25"/>
          <w:highlight w:val="none"/>
          <w:shd w:fill="auto" w:val="clear"/>
        </w:rPr>
      </w:pPr>
      <w:r>
        <w:rPr>
          <w:rFonts w:cs="Liberation Serif" w:ascii="Liberation Serif" w:hAnsi="Liberation Serif"/>
          <w:b/>
          <w:bCs/>
          <w:color w:val="000000" w:themeColor="text1"/>
          <w:sz w:val="25"/>
          <w:szCs w:val="25"/>
          <w:shd w:fill="auto" w:val="clear"/>
        </w:rPr>
      </w:r>
    </w:p>
    <w:p>
      <w:pPr>
        <w:pStyle w:val="Normal"/>
        <w:widowControl w:val="false"/>
        <w:spacing w:before="0" w:after="0"/>
        <w:ind w:firstLine="709"/>
        <w:contextualSpacing/>
        <w:rPr>
          <w:highlight w:val="none"/>
          <w:shd w:fill="auto" w:val="clear"/>
        </w:rPr>
      </w:pPr>
      <w:r>
        <w:rPr>
          <w:rFonts w:cs="Liberation Serif" w:ascii="Liberation Serif" w:hAnsi="Liberation Serif"/>
          <w:b/>
          <w:bCs/>
          <w:color w:val="000000" w:themeColor="text1"/>
          <w:sz w:val="25"/>
          <w:szCs w:val="25"/>
          <w:shd w:fill="auto" w:val="clear"/>
        </w:rPr>
        <w:t>2. Основное электрооборудование</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2.1. Проектируемые силовые трансформаторы 110/6 кВ мощностью по 6,3 МВА каждый должны иметь обоснованно сниженные величины потерь ХХ, КЗ и на охлаждение, необходимую динамическую стойкость к токам КЗ, должны быть оснащены устройством РПН.</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2.2. Силовые выключатели по способу гашения дуги принять:</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на напряжение 110 кВ – элегазовые (баковые);</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на напряжение 6 кВ – вакуумные.</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2.3. Разъединители 110 кВ с двигательным приводом главных и заземляющих ножей, трехполюсный горизонтально-поворотного типа.</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2.4. Ячейки КРУ 6 кВ должны иметь:</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межшкафные перегородки отсека сборных шин и разделение шкафа перегородками на отсеки СШ, отсека выключателя и линейного отсека для локализации повреждений в пределах одного отсека;</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направление выброса аварийного клапана сброса давления вверх;</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раздельный доступ к кабельному отсеку и отсеку выключателя;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стационарные индикаторы наличия напряжения;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газоаналитическую систему автоматического обнаружение перегрева элементов распределительных устройств (наклейки, газовый датчик, КПУ);</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антиконденсатный обогрев;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выключатели на выкатных элементах.</w:t>
      </w:r>
    </w:p>
    <w:p>
      <w:pPr>
        <w:pStyle w:val="Normal"/>
        <w:widowControl w:val="false"/>
        <w:spacing w:before="0" w:after="0"/>
        <w:ind w:firstLine="708"/>
        <w:contextualSpacing/>
        <w:rPr>
          <w:highlight w:val="none"/>
          <w:shd w:fill="auto" w:val="clear"/>
        </w:rPr>
      </w:pPr>
      <w:r>
        <w:rPr>
          <w:rFonts w:cs="Liberation Serif" w:ascii="Liberation Serif" w:hAnsi="Liberation Serif"/>
          <w:color w:val="000000" w:themeColor="text1"/>
          <w:sz w:val="25"/>
          <w:szCs w:val="25"/>
          <w:shd w:fill="auto" w:val="clear"/>
        </w:rPr>
        <w:t>2.5. Трансформаторы собственных нужд принять герметичного исполнения. Мощность, способ установки и схему подключения ТСН определить проектом.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2.6. ОПН должны быть взрывобезопасными, с повышенной энергоемкостью и необходимым защитным уровнем.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2.7. Трансформаторы напряжения 110, 6 кВ принять антирезонансные необслуживаемые.</w:t>
      </w:r>
    </w:p>
    <w:p>
      <w:pPr>
        <w:pStyle w:val="Normal"/>
        <w:widowControl w:val="false"/>
        <w:spacing w:before="0" w:after="0"/>
        <w:ind w:firstLine="708"/>
        <w:contextualSpacing/>
        <w:rPr>
          <w:highlight w:val="none"/>
          <w:shd w:fill="auto" w:val="clear"/>
        </w:rPr>
      </w:pPr>
      <w:r>
        <w:rPr>
          <w:rFonts w:cs="Liberation Serif" w:ascii="Liberation Serif" w:hAnsi="Liberation Serif"/>
          <w:color w:val="000000" w:themeColor="text1"/>
          <w:sz w:val="25"/>
          <w:szCs w:val="25"/>
          <w:shd w:fill="auto" w:val="clear"/>
        </w:rPr>
        <w:t>2.8. Класс изоляции «а» для трансформаторов тока и напряжения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2.9. Силовые и контрольные кабели должны удовлетворять условиям невозгораемости (с индексом НГ).</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2.10. Режим обслуживания при проектировании принять с привлечением ОВБ (без постоянного дежурного персонала).</w:t>
      </w:r>
    </w:p>
    <w:p>
      <w:pPr>
        <w:pStyle w:val="Normal"/>
        <w:widowControl w:val="false"/>
        <w:spacing w:before="0" w:after="0"/>
        <w:ind w:firstLine="708"/>
        <w:contextualSpacing/>
        <w:rPr>
          <w:highlight w:val="none"/>
          <w:shd w:fill="auto" w:val="clear"/>
        </w:rPr>
      </w:pPr>
      <w:r>
        <w:rPr>
          <w:rFonts w:cs="Liberation Serif" w:ascii="Liberation Serif" w:hAnsi="Liberation Serif"/>
          <w:color w:val="000000" w:themeColor="text1"/>
          <w:sz w:val="25"/>
          <w:szCs w:val="25"/>
          <w:shd w:fill="auto" w:val="clear"/>
        </w:rPr>
        <w:t>2.11. Тип и марки выбранного оборудования согласовать с заказчиком.</w:t>
      </w:r>
    </w:p>
    <w:p>
      <w:pPr>
        <w:pStyle w:val="Normal"/>
        <w:widowControl w:val="false"/>
        <w:spacing w:before="0" w:after="0"/>
        <w:ind w:firstLine="709"/>
        <w:contextualSpacing/>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widowControl w:val="false"/>
        <w:spacing w:before="0" w:after="0"/>
        <w:ind w:firstLine="709"/>
        <w:contextualSpacing/>
        <w:rPr>
          <w:highlight w:val="none"/>
          <w:shd w:fill="auto" w:val="clear"/>
        </w:rPr>
      </w:pPr>
      <w:r>
        <w:rPr>
          <w:rFonts w:cs="Liberation Serif" w:ascii="Liberation Serif" w:hAnsi="Liberation Serif"/>
          <w:b/>
          <w:bCs/>
          <w:color w:val="000000" w:themeColor="text1"/>
          <w:sz w:val="25"/>
          <w:szCs w:val="25"/>
          <w:shd w:fill="auto" w:val="clear"/>
        </w:rPr>
        <w:t>3. Схема собственных нужд, кабельная сеть, оперативный ток.</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3.1. </w:t>
      </w:r>
      <w:r>
        <w:rPr>
          <w:rFonts w:cs="Liberation Serif" w:ascii="Liberation Serif" w:hAnsi="Liberation Serif"/>
          <w:sz w:val="25"/>
          <w:szCs w:val="25"/>
          <w:shd w:fill="auto" w:val="clear"/>
        </w:rPr>
        <w:t xml:space="preserve">Собственные нужды ПС, сформировать на панелях в составе щита СН выполненного на современной элементной базе. Установку щита СН предусмотреть в ОПУ </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3.2. Оперативный ток принять постоянный, уровень напряжения 220 В. Предусмотреть установку комплектной системы оперативного постоянного тока. Схему, комплектность определить при проектировании. Предусмотреть проектом применение малообслуживаемой аккумуляторной батареи со сроком службы не менее 20 лет, обладающей способностью отдавать расчётную ёмкость и обеспечивать достаточный уровень напряжения у потребителей (не менее 0,8 U ном) в режиме аварийного разряда в течение всего срока службы. При потере собственных нужд аккумуляторная батарея должна обеспечивать питание потребителей в течение одного часа.</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3.3. Не допускается питание сторонних потребителей от сети собственных нужд подстанции.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3.4. Все первичное оборудование, заземляющее устройство ПС, устройства РЗА, АИИС КУЭ, средства и системы связи и т.п., а также вторичные цепи должны отвечать требованиям ЭМС. Для этого применять типовые и оригинальные технические решения, включая оптимизацию трассировки кабельных потоков, исключение заземлений первичного оборудования в непосредственной близости от кабельных каналов и др.</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Выполнить расчет параметров ЭМС объекта. Все рекомендации учесть при проектировании. Требования ЭМС должны выполняться на каждом этапе реконструкции и техперевооружения (в том числе при наличии на ПС нового и существующего оборудования).</w:t>
      </w:r>
    </w:p>
    <w:p>
      <w:pPr>
        <w:pStyle w:val="Normal"/>
        <w:widowControl w:val="false"/>
        <w:spacing w:before="0" w:after="0"/>
        <w:ind w:firstLine="709"/>
        <w:contextualSpacing/>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widowControl w:val="false"/>
        <w:numPr>
          <w:ilvl w:val="0"/>
          <w:numId w:val="1"/>
        </w:numPr>
        <w:tabs>
          <w:tab w:val="clear" w:pos="708"/>
          <w:tab w:val="left" w:pos="0" w:leader="none"/>
          <w:tab w:val="left" w:pos="1080" w:leader="none"/>
        </w:tabs>
        <w:spacing w:before="0" w:after="0"/>
        <w:ind w:left="0" w:firstLine="709"/>
        <w:contextualSpacing/>
        <w:rPr>
          <w:highlight w:val="none"/>
          <w:shd w:fill="auto" w:val="clear"/>
        </w:rPr>
      </w:pPr>
      <w:r>
        <w:rPr>
          <w:rFonts w:cs="Liberation Serif" w:ascii="Liberation Serif" w:hAnsi="Liberation Serif"/>
          <w:b/>
          <w:bCs/>
          <w:color w:val="000000" w:themeColor="text1"/>
          <w:sz w:val="25"/>
          <w:szCs w:val="25"/>
          <w:shd w:fill="auto" w:val="clear"/>
        </w:rPr>
        <w:t xml:space="preserve">Вторичная система ПС. </w:t>
      </w:r>
    </w:p>
    <w:p>
      <w:pPr>
        <w:pStyle w:val="Normal"/>
        <w:widowControl w:val="false"/>
        <w:spacing w:before="0" w:after="0"/>
        <w:ind w:firstLine="720"/>
        <w:contextualSpacing/>
        <w:rPr>
          <w:highlight w:val="none"/>
          <w:shd w:fill="auto" w:val="clear"/>
        </w:rPr>
      </w:pPr>
      <w:r>
        <w:rPr>
          <w:rFonts w:cs="Liberation Serif" w:ascii="Liberation Serif" w:hAnsi="Liberation Serif"/>
          <w:color w:val="000000" w:themeColor="text1"/>
          <w:sz w:val="25"/>
          <w:szCs w:val="25"/>
          <w:shd w:fill="auto" w:val="clear"/>
        </w:rPr>
        <w:t xml:space="preserve">4.1. При выполнении проектных работ в части строительства ПС 110 кВ Советская, необходимо учитывать требования приказа №101 Минэнерго РФ, требования Технической политики группы РусГидро 2020 к оснащению защитами силовых трансформаторов 35 кВ и выше. </w:t>
      </w:r>
      <w:r>
        <w:rPr>
          <w:rFonts w:cs="Liberation Serif" w:ascii="Liberation Serif" w:hAnsi="Liberation Serif"/>
          <w:bCs/>
          <w:color w:val="000000" w:themeColor="text1"/>
          <w:sz w:val="25"/>
          <w:szCs w:val="25"/>
          <w:shd w:fill="auto" w:val="clear"/>
        </w:rPr>
        <w:t>РЗА</w:t>
      </w:r>
      <w:r>
        <w:rPr>
          <w:rFonts w:cs="Liberation Serif" w:ascii="Liberation Serif" w:hAnsi="Liberation Serif"/>
          <w:color w:val="000000" w:themeColor="text1"/>
          <w:sz w:val="25"/>
          <w:szCs w:val="25"/>
          <w:shd w:fill="auto" w:val="clear"/>
        </w:rPr>
        <w:t xml:space="preserve">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 Предусмотреть панели управления с размещением мнемосхемы ПС, с расположением ключей управления и ламп сигнализации положения коммутационных аппаратов. При проектировании учесть решения по РЗА смежных объектов, а также титулы, реализуемые по смежным объектам. Устройства РЗА должны обеспечивать свою правильную работу при изменении частоты электрического тока, в диапазоне 45,0-55,0 Гц.</w:t>
      </w:r>
    </w:p>
    <w:p>
      <w:pPr>
        <w:pStyle w:val="Normal"/>
        <w:widowControl w:val="false"/>
        <w:spacing w:before="0" w:after="0"/>
        <w:ind w:firstLine="720"/>
        <w:contextualSpacing/>
        <w:rPr>
          <w:highlight w:val="none"/>
          <w:shd w:fill="auto" w:val="clear"/>
        </w:rPr>
      </w:pPr>
      <w:r>
        <w:rPr>
          <w:rFonts w:cs="Liberation Serif" w:ascii="Liberation Serif" w:hAnsi="Liberation Serif"/>
          <w:color w:val="000000" w:themeColor="text1"/>
          <w:sz w:val="25"/>
          <w:szCs w:val="25"/>
          <w:shd w:fill="auto" w:val="clear"/>
        </w:rPr>
        <w:t>4.2. Разработать решения по подключению нагрузки ПС 110/6 кВ Советская к системной противоаварийной автоматике САОН, АЧР. Определить проектом места и объекты для установки УПАСК, с обеспечением требований всех действующих НТД как к каналам связи, так и составу оборудования.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4.3. Разработать решения по установке МП РЗА Трансформаторов 110 кВ. Учесть требования к реализации ДЗТ, ГЗ согласно НТД. В РУ 6 кВ разработать решения по АВР, УРОВ, ЛЗШ. Применить защиту от дуговых замыканий с оптическими датчиками, исполнение корпуса блока - металл. Принять при проектировании необходимость об совместимости устройств с ПО «</w:t>
      </w:r>
      <w:r>
        <w:rPr>
          <w:rFonts w:cs="Liberation Serif" w:ascii="Liberation Serif" w:hAnsi="Liberation Serif"/>
          <w:color w:val="000000" w:themeColor="text1"/>
          <w:sz w:val="25"/>
          <w:szCs w:val="25"/>
          <w:shd w:fill="auto" w:val="clear"/>
          <w:lang w:val="en-US"/>
        </w:rPr>
        <w:t>EKRASCADA</w:t>
      </w:r>
      <w:r>
        <w:rPr>
          <w:rFonts w:cs="Liberation Serif" w:ascii="Liberation Serif" w:hAnsi="Liberation Serif"/>
          <w:color w:val="000000" w:themeColor="text1"/>
          <w:sz w:val="25"/>
          <w:szCs w:val="25"/>
          <w:shd w:fill="auto" w:val="clear"/>
        </w:rPr>
        <w:t>» для интеграции в сеть РЗА ПЭС и выполнения синхронизации времени с сервером.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4.3. Выполнить расчет параметров срабатывания РЗА, включая устройства РЗА на смежных объектах, для которых требуется изменение параметров. Результаты расчетов оформить на заводских бланках устройств, в соответствии с приказом Приказ №556 Минэнерго РФ от 13.07.2020.</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4.4. Измерение параметров электрической энергии осуществлять приборами с цифровой индикацией с возможностью ручного программирования коэффициентов трансформации. Предусмотреть наличие ЗИПа на приборы с цифровой индикацией и возможностью ручного программирования коэффициентов трансформации не менее 20% от общего количества аналогичных СИ устанавливаемых на объекте.</w:t>
      </w:r>
    </w:p>
    <w:p>
      <w:pPr>
        <w:pStyle w:val="Normal"/>
        <w:widowControl w:val="false"/>
        <w:spacing w:before="0" w:after="0"/>
        <w:ind w:firstLine="709"/>
        <w:contextualSpacing/>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widowControl w:val="false"/>
        <w:spacing w:before="0" w:after="0"/>
        <w:ind w:firstLine="709"/>
        <w:rPr>
          <w:highlight w:val="none"/>
          <w:shd w:fill="auto" w:val="clear"/>
        </w:rPr>
      </w:pPr>
      <w:r>
        <w:rPr>
          <w:rFonts w:cs="Liberation Serif" w:ascii="Liberation Serif" w:hAnsi="Liberation Serif"/>
          <w:b/>
          <w:color w:val="000000" w:themeColor="text1"/>
          <w:sz w:val="25"/>
          <w:szCs w:val="25"/>
          <w:shd w:fill="auto" w:val="clear"/>
        </w:rPr>
        <w:t xml:space="preserve">5. Учет электроэнергии, АИИС КУЭ. </w:t>
      </w:r>
    </w:p>
    <w:p>
      <w:pPr>
        <w:pStyle w:val="Normal"/>
        <w:widowControl w:val="false"/>
        <w:tabs>
          <w:tab w:val="clear" w:pos="708"/>
          <w:tab w:val="left" w:pos="0" w:leader="none"/>
        </w:tabs>
        <w:spacing w:before="0" w:after="0"/>
        <w:ind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Предусмотреть организацию системы коммерческого и технического учета электроэнергии в соответствии с гл. 1.5 ПУЭ и гл.10 Постановления Правительства</w:t>
      </w:r>
      <w:r>
        <w:rPr>
          <w:rFonts w:cs="Liberation Serif" w:ascii="Liberation Serif" w:hAnsi="Liberation Serif"/>
          <w:color w:val="000000" w:themeColor="text1"/>
          <w:sz w:val="25"/>
          <w:szCs w:val="25"/>
          <w:shd w:fill="auto" w:val="clear"/>
        </w:rPr>
        <w:t xml:space="preserve"> </w:t>
      </w:r>
      <w:r>
        <w:rPr>
          <w:rFonts w:cs="Liberation Serif" w:ascii="Liberation Serif" w:hAnsi="Liberation Serif"/>
          <w:color w:val="000000" w:themeColor="text1"/>
          <w:spacing w:val="2"/>
          <w:sz w:val="25"/>
          <w:szCs w:val="25"/>
          <w:shd w:fill="auto" w:val="clear"/>
        </w:rPr>
        <w:t>от 4 мая 2012 года № 442 «О функционировании розничных рынков электрической энергии…</w:t>
      </w:r>
      <w:r>
        <w:rPr>
          <w:rFonts w:cs="Liberation Serif" w:ascii="Liberation Serif" w:hAnsi="Liberation Serif"/>
          <w:color w:val="000000" w:themeColor="text1"/>
          <w:sz w:val="25"/>
          <w:szCs w:val="25"/>
          <w:shd w:fill="auto" w:val="clear"/>
        </w:rPr>
        <w:t>»</w:t>
      </w:r>
    </w:p>
    <w:p>
      <w:pPr>
        <w:pStyle w:val="Normal"/>
        <w:widowControl w:val="false"/>
        <w:tabs>
          <w:tab w:val="clear" w:pos="708"/>
          <w:tab w:val="left" w:pos="0" w:leader="none"/>
        </w:tabs>
        <w:spacing w:before="0" w:after="0"/>
        <w:ind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5.1. Предусмотреть учет активной и реактивной энергии.</w:t>
      </w:r>
      <w:r>
        <w:rPr>
          <w:rFonts w:cs="Liberation Serif" w:ascii="Liberation Serif" w:hAnsi="Liberation Serif"/>
          <w:color w:val="000000" w:themeColor="text1"/>
          <w:sz w:val="25"/>
          <w:szCs w:val="25"/>
          <w:shd w:fill="auto" w:val="clear"/>
        </w:rPr>
        <w:t xml:space="preserve"> </w:t>
      </w:r>
      <w:r>
        <w:rPr>
          <w:rFonts w:cs="Liberation Serif" w:ascii="Liberation Serif" w:hAnsi="Liberation Serif"/>
          <w:color w:val="000000" w:themeColor="text1"/>
          <w:spacing w:val="2"/>
          <w:sz w:val="25"/>
          <w:szCs w:val="25"/>
          <w:shd w:fill="auto" w:val="clear"/>
        </w:rPr>
        <w:t>Если возможен реверсивный режим работы электроустановок, то прибор учета должен обеспечивать учет электрической энергии (мощности) в обоих направлениях на прием и отдачу (реверсивный прибор учета).</w:t>
      </w:r>
    </w:p>
    <w:p>
      <w:pPr>
        <w:pStyle w:val="Normal"/>
        <w:widowControl w:val="false"/>
        <w:tabs>
          <w:tab w:val="clear" w:pos="708"/>
          <w:tab w:val="left" w:pos="0" w:leader="none"/>
        </w:tabs>
        <w:spacing w:before="0" w:after="0"/>
        <w:ind w:right="141"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5.2. Приборы учета электрической энергии должны быть из числа внесенных в Государственный реестр средств измерений, допущенных к применению в РФ, и удовлетворять требованиям постановления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 иметь действующие свидетельства о поверке и соответствовать следующим требованиям:</w:t>
      </w:r>
    </w:p>
    <w:p>
      <w:pPr>
        <w:pStyle w:val="Normal"/>
        <w:widowControl w:val="false"/>
        <w:tabs>
          <w:tab w:val="clear" w:pos="708"/>
          <w:tab w:val="left" w:pos="0" w:leader="none"/>
        </w:tabs>
        <w:spacing w:before="0" w:after="0"/>
        <w:ind w:right="141"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 класс точности для активной энергии, не ниже указанных в таблице 1;</w:t>
      </w:r>
    </w:p>
    <w:p>
      <w:pPr>
        <w:pStyle w:val="Normal"/>
        <w:widowControl w:val="false"/>
        <w:tabs>
          <w:tab w:val="clear" w:pos="708"/>
          <w:tab w:val="left" w:pos="0" w:leader="none"/>
        </w:tabs>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измерение почасовых объемов потребления электрической энергии при присоединенной нагрузке свыше 670 кВт;</w:t>
      </w:r>
    </w:p>
    <w:p>
      <w:pPr>
        <w:pStyle w:val="Normal"/>
        <w:widowControl w:val="false"/>
        <w:tabs>
          <w:tab w:val="clear" w:pos="708"/>
          <w:tab w:val="left" w:pos="0" w:leader="none"/>
        </w:tabs>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обеспечивать хранение данных о почасовых объемах потребления электрической энергии за последние 90 дней и более при присоединенной нагрузке свыше 670 кВт;</w:t>
      </w:r>
    </w:p>
    <w:p>
      <w:pPr>
        <w:pStyle w:val="Normal"/>
        <w:widowControl w:val="false"/>
        <w:spacing w:before="0" w:after="0"/>
        <w:ind w:right="141"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 диапазон температур от -40 до +55.</w:t>
      </w:r>
    </w:p>
    <w:p>
      <w:pPr>
        <w:pStyle w:val="Normal"/>
        <w:widowControl w:val="false"/>
        <w:spacing w:before="0" w:after="0"/>
        <w:ind w:right="141"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5.3. Класс точности вторичной обмотки трансформаторов тока для учёта и измерений принять не ниже (см. таблицу 1);</w:t>
      </w:r>
    </w:p>
    <w:p>
      <w:pPr>
        <w:pStyle w:val="Normal"/>
        <w:widowControl w:val="false"/>
        <w:tabs>
          <w:tab w:val="clear" w:pos="708"/>
          <w:tab w:val="left" w:pos="1531" w:leader="none"/>
        </w:tabs>
        <w:spacing w:before="0" w:after="0"/>
        <w:ind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5.4. Класс точности вторичной обмотки трансформаторов напряжения для учёта и измерений принять не ниже (см. таблицу 1);</w:t>
      </w:r>
    </w:p>
    <w:p>
      <w:pPr>
        <w:pStyle w:val="Normal"/>
        <w:widowControl w:val="false"/>
        <w:tabs>
          <w:tab w:val="clear" w:pos="708"/>
          <w:tab w:val="left" w:pos="1531" w:leader="none"/>
        </w:tabs>
        <w:spacing w:before="0" w:after="0"/>
        <w:ind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5.5. Подключение счетчиков к измерительным трансформаторам тока и напряжения выполнить отдельным кабелем и на отдельные обмотки, через испытательную коробку.</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5.6. Расчет по выбору ТТ и ТН с условиями проверки средств учета на обеспечение требуемой чувствительности при минимальной нагрузке присоединения (Все действующие разделы ПУЭ-6 и ПУЭ-7); Чувствительность средств учёта электроэнергии должна соответствовать минимальной расчётной нагрузке присоединения.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5.7. Проверку нагрузки вторичных обмоток измерительных трансформаторов и проверка сечения и длинны проводов и кабелей цепей напряжения по потерям напряжения. (Все действующие разделы ПУЭ-6 и ПУЭ-7);</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5.8. Предусмотреть автоматизированную передачу данных с приборов учета электроэнергии в цифровую облачную платформу энергоданных ПАО «РусГидро». Тип и марку устройств сбора и передачи данных (УСПД) согласовать с филиалом АО «ДРСК» - «Приморские электрические сети»;</w:t>
      </w:r>
    </w:p>
    <w:p>
      <w:pPr>
        <w:pStyle w:val="Normal"/>
        <w:widowControl w:val="false"/>
        <w:tabs>
          <w:tab w:val="clear" w:pos="708"/>
          <w:tab w:val="left" w:pos="565" w:leader="none"/>
          <w:tab w:val="left" w:pos="993" w:leader="none"/>
        </w:tabs>
        <w:spacing w:lineRule="exact" w:line="274" w:before="0" w:after="0"/>
        <w:ind w:firstLine="709"/>
        <w:rPr>
          <w:highlight w:val="none"/>
          <w:shd w:fill="auto" w:val="clear"/>
        </w:rPr>
      </w:pPr>
      <w:r>
        <w:rPr>
          <w:rFonts w:cs="Liberation Serif" w:ascii="Liberation Serif" w:hAnsi="Liberation Serif"/>
          <w:color w:val="000000" w:themeColor="text1"/>
          <w:sz w:val="25"/>
          <w:szCs w:val="25"/>
          <w:shd w:fill="auto" w:val="clear"/>
        </w:rPr>
        <w:t>5.9. Предусмотреть организацию не менее двух резервируемых каналов передачи данных от УСПД до цифровой облачной платформы энергоданных ПАО «РусГидро» с применением различных средств связи (ВОЛС, Ethernet, GSM/GPRS, спутниковой связи по технологии VSAT);</w:t>
      </w:r>
    </w:p>
    <w:p>
      <w:pPr>
        <w:pStyle w:val="Normal"/>
        <w:widowControl w:val="false"/>
        <w:tabs>
          <w:tab w:val="clear" w:pos="708"/>
          <w:tab w:val="left" w:pos="565" w:leader="none"/>
          <w:tab w:val="left" w:pos="993" w:leader="none"/>
        </w:tabs>
        <w:spacing w:lineRule="exact" w:line="274" w:before="0" w:after="0"/>
        <w:ind w:firstLine="709"/>
        <w:rPr>
          <w:highlight w:val="none"/>
          <w:shd w:fill="auto" w:val="clear"/>
        </w:rPr>
      </w:pPr>
      <w:r>
        <w:rPr>
          <w:rFonts w:cs="Liberation Serif" w:ascii="Liberation Serif" w:hAnsi="Liberation Serif"/>
          <w:color w:val="000000" w:themeColor="text1"/>
          <w:sz w:val="25"/>
          <w:szCs w:val="25"/>
          <w:shd w:fill="auto" w:val="clear"/>
        </w:rPr>
        <w:t>5.10. Оборудование уровня УСПД, а также коммуникационное оборудование разместить в специализированных шкафах для защиты от механических воздействий и несанкционированного доступа. Шкафы смонтировать с учетом обеспечения удобства доступа, монтажа и эксплуатации. В зависимости от климатических условий размещения, шкафы оборудовать техническими средствами для поддержания температур, необходимых для нормальной работы оборудования.</w:t>
      </w:r>
    </w:p>
    <w:p>
      <w:pPr>
        <w:pStyle w:val="Normal"/>
        <w:widowControl w:val="false"/>
        <w:tabs>
          <w:tab w:val="clear" w:pos="708"/>
          <w:tab w:val="left" w:pos="565" w:leader="none"/>
          <w:tab w:val="left" w:pos="993" w:leader="none"/>
        </w:tabs>
        <w:spacing w:lineRule="exact" w:line="274" w:before="0" w:after="0"/>
        <w:ind w:firstLine="709"/>
        <w:rPr>
          <w:highlight w:val="none"/>
          <w:shd w:fill="auto" w:val="clear"/>
        </w:rPr>
      </w:pPr>
      <w:r>
        <w:rPr>
          <w:rFonts w:cs="Liberation Serif" w:ascii="Liberation Serif" w:hAnsi="Liberation Serif"/>
          <w:color w:val="000000" w:themeColor="text1"/>
          <w:sz w:val="25"/>
          <w:szCs w:val="25"/>
          <w:shd w:fill="auto" w:val="clear"/>
        </w:rPr>
        <w:t>Предусмотреть резервирование питания шкафа АИИС КУЭ и приборов учёта электроэнергии от разных СШ СН, с установкой коммутационных аппаратов защиты.</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5.11. Под оборудование АИИС КУЭ предусмотреть источник бесперебойного питания. </w:t>
      </w:r>
    </w:p>
    <w:p>
      <w:pPr>
        <w:pStyle w:val="Normal"/>
        <w:widowControl w:val="false"/>
        <w:tabs>
          <w:tab w:val="clear" w:pos="708"/>
          <w:tab w:val="left" w:pos="0" w:leader="none"/>
        </w:tabs>
        <w:spacing w:before="0" w:after="0"/>
        <w:ind w:firstLine="709"/>
        <w:contextualSpacing/>
        <w:rPr>
          <w:highlight w:val="none"/>
          <w:shd w:fill="auto" w:val="clear"/>
        </w:rPr>
      </w:pPr>
      <w:r>
        <w:rPr>
          <w:rFonts w:cs="Liberation Serif" w:ascii="Liberation Serif" w:hAnsi="Liberation Serif"/>
          <w:color w:val="000000" w:themeColor="text1"/>
          <w:spacing w:val="2"/>
          <w:sz w:val="25"/>
          <w:szCs w:val="25"/>
          <w:shd w:fill="auto" w:val="clear"/>
        </w:rPr>
        <w:t>5.12. Измерительный комплекс должен быть защищен от несанкционированного доступа в соответствии с требованиями всех действующих разделов ПУЭ и ПТЭ ЭП.</w:t>
      </w:r>
    </w:p>
    <w:p>
      <w:pPr>
        <w:pStyle w:val="Normal"/>
        <w:widowControl w:val="false"/>
        <w:spacing w:before="0" w:after="0"/>
        <w:ind w:firstLine="709"/>
        <w:contextualSpacing/>
        <w:rPr>
          <w:rFonts w:ascii="Liberation Serif" w:hAnsi="Liberation Serif" w:cs="Liberation Serif"/>
          <w:color w:val="000000" w:themeColor="text1"/>
          <w:spacing w:val="1"/>
          <w:sz w:val="25"/>
          <w:szCs w:val="25"/>
          <w:highlight w:val="none"/>
          <w:shd w:fill="auto" w:val="clear"/>
        </w:rPr>
      </w:pPr>
      <w:r>
        <w:rPr>
          <w:rFonts w:cs="Liberation Serif" w:ascii="Liberation Serif" w:hAnsi="Liberation Serif"/>
          <w:color w:val="000000" w:themeColor="text1"/>
          <w:spacing w:val="1"/>
          <w:sz w:val="25"/>
          <w:szCs w:val="25"/>
          <w:shd w:fill="auto" w:val="clear"/>
        </w:rPr>
      </w:r>
    </w:p>
    <w:p>
      <w:pPr>
        <w:pStyle w:val="Normal"/>
        <w:widowControl w:val="false"/>
        <w:tabs>
          <w:tab w:val="clear" w:pos="708"/>
          <w:tab w:val="left" w:pos="2160" w:leader="none"/>
        </w:tabs>
        <w:spacing w:before="0" w:after="0"/>
        <w:ind w:firstLine="709"/>
        <w:contextualSpacing/>
        <w:jc w:val="center"/>
        <w:rPr>
          <w:highlight w:val="none"/>
          <w:shd w:fill="auto" w:val="clear"/>
        </w:rPr>
      </w:pPr>
      <w:r>
        <w:rPr>
          <w:rFonts w:cs="Liberation Serif" w:ascii="Liberation Serif" w:hAnsi="Liberation Serif"/>
          <w:b/>
          <w:color w:val="000000" w:themeColor="text1"/>
          <w:sz w:val="25"/>
          <w:szCs w:val="25"/>
          <w:shd w:fill="auto" w:val="clear"/>
        </w:rPr>
        <w:t>Классы точности средств измерений</w:t>
      </w:r>
    </w:p>
    <w:p>
      <w:pPr>
        <w:pStyle w:val="Normal"/>
        <w:widowControl w:val="false"/>
        <w:tabs>
          <w:tab w:val="clear" w:pos="708"/>
          <w:tab w:val="left" w:pos="2160" w:leader="none"/>
        </w:tabs>
        <w:spacing w:before="0" w:after="0"/>
        <w:ind w:firstLine="709"/>
        <w:contextualSpacing/>
        <w:jc w:val="right"/>
        <w:rPr>
          <w:highlight w:val="none"/>
          <w:shd w:fill="auto" w:val="clear"/>
        </w:rPr>
      </w:pPr>
      <w:r>
        <w:rPr>
          <w:rFonts w:cs="Liberation Serif" w:ascii="Liberation Serif" w:hAnsi="Liberation Serif"/>
          <w:color w:val="000000" w:themeColor="text1"/>
          <w:sz w:val="25"/>
          <w:szCs w:val="25"/>
          <w:shd w:fill="auto" w:val="clear"/>
        </w:rPr>
        <w:t>Таблица 1</w:t>
      </w:r>
    </w:p>
    <w:tbl>
      <w:tblPr>
        <w:tblW w:w="10306" w:type="dxa"/>
        <w:jc w:val="left"/>
        <w:tblInd w:w="-5" w:type="dxa"/>
        <w:tblLayout w:type="fixed"/>
        <w:tblCellMar>
          <w:top w:w="0" w:type="dxa"/>
          <w:left w:w="8" w:type="dxa"/>
          <w:bottom w:w="0" w:type="dxa"/>
          <w:right w:w="28" w:type="dxa"/>
        </w:tblCellMar>
        <w:tblLook w:firstRow="1" w:noVBand="0" w:lastRow="1" w:firstColumn="1" w:lastColumn="1" w:noHBand="0" w:val="01e0"/>
      </w:tblPr>
      <w:tblGrid>
        <w:gridCol w:w="2136"/>
        <w:gridCol w:w="1578"/>
        <w:gridCol w:w="1578"/>
        <w:gridCol w:w="2503"/>
        <w:gridCol w:w="2511"/>
      </w:tblGrid>
      <w:tr>
        <w:trPr>
          <w:trHeight w:val="262" w:hRule="atLeast"/>
          <w:cantSplit w:val="true"/>
        </w:trPr>
        <w:tc>
          <w:tcPr>
            <w:tcW w:w="2136"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jc w:val="center"/>
              <w:rPr>
                <w:highlight w:val="none"/>
                <w:shd w:fill="auto" w:val="clear"/>
              </w:rPr>
            </w:pPr>
            <w:r>
              <w:rPr>
                <w:rFonts w:cs="Liberation Serif" w:ascii="Liberation Serif" w:hAnsi="Liberation Serif"/>
                <w:color w:val="000000" w:themeColor="text1"/>
                <w:sz w:val="25"/>
                <w:szCs w:val="25"/>
                <w:shd w:fill="auto" w:val="clear"/>
              </w:rPr>
              <w:t>Объект измерений</w:t>
            </w:r>
          </w:p>
        </w:tc>
        <w:tc>
          <w:tcPr>
            <w:tcW w:w="8170" w:type="dxa"/>
            <w:gridSpan w:val="4"/>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Классы точности, не ниже, для:</w:t>
            </w:r>
          </w:p>
        </w:tc>
      </w:tr>
      <w:tr>
        <w:trPr>
          <w:trHeight w:val="155" w:hRule="atLeast"/>
          <w:cantSplit w:val="true"/>
        </w:trPr>
        <w:tc>
          <w:tcPr>
            <w:tcW w:w="213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jc w:val="center"/>
              <w:rPr>
                <w:highlight w:val="none"/>
                <w:shd w:fill="auto" w:val="clear"/>
              </w:rPr>
            </w:pPr>
            <w:r>
              <w:rPr>
                <w:rFonts w:cs="Liberation Serif" w:ascii="Liberation Serif" w:hAnsi="Liberation Serif"/>
                <w:color w:val="000000" w:themeColor="text1"/>
                <w:spacing w:val="2"/>
                <w:sz w:val="25"/>
                <w:szCs w:val="25"/>
                <w:shd w:fill="auto" w:val="clear"/>
              </w:rPr>
              <w:t>прибор учета</w:t>
            </w:r>
            <w:r>
              <w:rPr>
                <w:rFonts w:cs="Liberation Serif" w:ascii="Liberation Serif" w:hAnsi="Liberation Serif"/>
                <w:color w:val="000000" w:themeColor="text1"/>
                <w:sz w:val="25"/>
                <w:szCs w:val="25"/>
                <w:shd w:fill="auto" w:val="clear"/>
              </w:rPr>
              <w:t xml:space="preserve"> активной энергии</w:t>
            </w:r>
          </w:p>
        </w:tc>
        <w:tc>
          <w:tcPr>
            <w:tcW w:w="157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contextualSpacing/>
              <w:jc w:val="center"/>
              <w:rPr>
                <w:highlight w:val="none"/>
                <w:shd w:fill="auto" w:val="clear"/>
              </w:rPr>
            </w:pPr>
            <w:r>
              <w:rPr>
                <w:rFonts w:cs="Liberation Serif" w:ascii="Liberation Serif" w:hAnsi="Liberation Serif"/>
                <w:color w:val="000000" w:themeColor="text1"/>
                <w:spacing w:val="2"/>
                <w:sz w:val="25"/>
                <w:szCs w:val="25"/>
                <w:shd w:fill="auto" w:val="clear"/>
              </w:rPr>
              <w:t>прибор учета</w:t>
            </w:r>
            <w:r>
              <w:rPr>
                <w:rFonts w:cs="Liberation Serif" w:ascii="Liberation Serif" w:hAnsi="Liberation Serif"/>
                <w:color w:val="000000" w:themeColor="text1"/>
                <w:sz w:val="25"/>
                <w:szCs w:val="25"/>
                <w:shd w:fill="auto" w:val="clear"/>
              </w:rPr>
              <w:t xml:space="preserve"> реактивной энергии</w:t>
            </w:r>
          </w:p>
        </w:tc>
        <w:tc>
          <w:tcPr>
            <w:tcW w:w="250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jc w:val="center"/>
              <w:rPr>
                <w:highlight w:val="none"/>
                <w:shd w:fill="auto" w:val="clear"/>
              </w:rPr>
            </w:pPr>
            <w:r>
              <w:rPr>
                <w:rFonts w:cs="Liberation Serif" w:ascii="Liberation Serif" w:hAnsi="Liberation Serif"/>
                <w:color w:val="000000" w:themeColor="text1"/>
                <w:sz w:val="25"/>
                <w:szCs w:val="25"/>
                <w:shd w:fill="auto" w:val="clear"/>
              </w:rPr>
              <w:t>Трансформатор тока</w:t>
            </w:r>
          </w:p>
        </w:tc>
        <w:tc>
          <w:tcPr>
            <w:tcW w:w="25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jc w:val="center"/>
              <w:rPr>
                <w:highlight w:val="none"/>
                <w:shd w:fill="auto" w:val="clear"/>
              </w:rPr>
            </w:pPr>
            <w:r>
              <w:rPr>
                <w:rFonts w:cs="Liberation Serif" w:ascii="Liberation Serif" w:hAnsi="Liberation Serif"/>
                <w:color w:val="000000" w:themeColor="text1"/>
                <w:sz w:val="25"/>
                <w:szCs w:val="25"/>
                <w:shd w:fill="auto" w:val="clear"/>
              </w:rPr>
              <w:t>Трансформатор напряжения</w:t>
            </w:r>
          </w:p>
        </w:tc>
      </w:tr>
      <w:tr>
        <w:trPr>
          <w:trHeight w:val="60" w:hRule="atLeast"/>
        </w:trPr>
        <w:tc>
          <w:tcPr>
            <w:tcW w:w="213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rPr>
                <w:highlight w:val="none"/>
                <w:shd w:fill="auto" w:val="clear"/>
              </w:rPr>
            </w:pPr>
            <w:r>
              <w:rPr>
                <w:rFonts w:cs="Liberation Serif" w:ascii="Liberation Serif" w:hAnsi="Liberation Serif"/>
                <w:color w:val="000000" w:themeColor="text1"/>
                <w:sz w:val="25"/>
                <w:szCs w:val="25"/>
                <w:shd w:fill="auto" w:val="clear"/>
              </w:rPr>
              <w:t>Генерация</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0,5S</w:t>
            </w:r>
          </w:p>
        </w:tc>
        <w:tc>
          <w:tcPr>
            <w:tcW w:w="157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1,0</w:t>
            </w:r>
          </w:p>
        </w:tc>
        <w:tc>
          <w:tcPr>
            <w:tcW w:w="250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r>
              <w:rPr>
                <w:rFonts w:cs="Liberation Serif" w:ascii="Liberation Serif" w:hAnsi="Liberation Serif"/>
                <w:color w:val="000000" w:themeColor="text1"/>
                <w:sz w:val="25"/>
                <w:szCs w:val="25"/>
                <w:shd w:fill="auto" w:val="clear"/>
                <w:lang w:val="en-US"/>
              </w:rPr>
              <w:t>S</w:t>
            </w:r>
          </w:p>
        </w:tc>
        <w:tc>
          <w:tcPr>
            <w:tcW w:w="25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p>
        </w:tc>
      </w:tr>
      <w:tr>
        <w:trPr>
          <w:trHeight w:val="60" w:hRule="atLeast"/>
        </w:trPr>
        <w:tc>
          <w:tcPr>
            <w:tcW w:w="213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rPr>
                <w:highlight w:val="none"/>
                <w:shd w:fill="auto" w:val="clear"/>
              </w:rPr>
            </w:pPr>
            <w:r>
              <w:rPr>
                <w:rFonts w:cs="Liberation Serif" w:ascii="Liberation Serif" w:hAnsi="Liberation Serif"/>
                <w:color w:val="000000" w:themeColor="text1"/>
                <w:sz w:val="25"/>
                <w:szCs w:val="25"/>
                <w:shd w:fill="auto" w:val="clear"/>
              </w:rPr>
              <w:t>Мощностью 670 кВт и более</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0,5S</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1,0</w:t>
            </w:r>
          </w:p>
        </w:tc>
        <w:tc>
          <w:tcPr>
            <w:tcW w:w="250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r>
              <w:rPr>
                <w:rFonts w:cs="Liberation Serif" w:ascii="Liberation Serif" w:hAnsi="Liberation Serif"/>
                <w:color w:val="000000" w:themeColor="text1"/>
                <w:sz w:val="25"/>
                <w:szCs w:val="25"/>
                <w:shd w:fill="auto" w:val="clear"/>
                <w:lang w:val="en-US"/>
              </w:rPr>
              <w:t>S</w:t>
            </w:r>
          </w:p>
        </w:tc>
        <w:tc>
          <w:tcPr>
            <w:tcW w:w="25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p>
        </w:tc>
      </w:tr>
      <w:tr>
        <w:trPr>
          <w:trHeight w:val="54" w:hRule="atLeast"/>
        </w:trPr>
        <w:tc>
          <w:tcPr>
            <w:tcW w:w="10306" w:type="dxa"/>
            <w:gridSpan w:val="5"/>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Мощностью менее 670 кВт:</w:t>
            </w:r>
          </w:p>
        </w:tc>
      </w:tr>
      <w:tr>
        <w:trPr>
          <w:trHeight w:val="70" w:hRule="atLeast"/>
        </w:trPr>
        <w:tc>
          <w:tcPr>
            <w:tcW w:w="213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rPr>
                <w:highlight w:val="none"/>
                <w:shd w:fill="auto" w:val="clear"/>
              </w:rPr>
            </w:pPr>
            <w:r>
              <w:rPr>
                <w:rFonts w:cs="Liberation Serif" w:ascii="Liberation Serif" w:hAnsi="Liberation Serif"/>
                <w:color w:val="000000" w:themeColor="text1"/>
                <w:sz w:val="25"/>
                <w:szCs w:val="25"/>
                <w:shd w:fill="auto" w:val="clear"/>
              </w:rPr>
              <w:t>110 кВ</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0,5S</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1,0</w:t>
            </w:r>
          </w:p>
        </w:tc>
        <w:tc>
          <w:tcPr>
            <w:tcW w:w="250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r>
              <w:rPr>
                <w:rFonts w:cs="Liberation Serif" w:ascii="Liberation Serif" w:hAnsi="Liberation Serif"/>
                <w:color w:val="000000" w:themeColor="text1"/>
                <w:sz w:val="25"/>
                <w:szCs w:val="25"/>
                <w:shd w:fill="auto" w:val="clear"/>
                <w:lang w:val="en-US"/>
              </w:rPr>
              <w:t>S</w:t>
            </w:r>
          </w:p>
        </w:tc>
        <w:tc>
          <w:tcPr>
            <w:tcW w:w="25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p>
        </w:tc>
      </w:tr>
      <w:tr>
        <w:trPr>
          <w:trHeight w:val="54" w:hRule="atLeast"/>
        </w:trPr>
        <w:tc>
          <w:tcPr>
            <w:tcW w:w="213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contextualSpacing/>
              <w:rPr>
                <w:highlight w:val="none"/>
                <w:shd w:fill="auto" w:val="clear"/>
              </w:rPr>
            </w:pPr>
            <w:r>
              <w:rPr>
                <w:rFonts w:cs="Liberation Serif" w:ascii="Liberation Serif" w:hAnsi="Liberation Serif"/>
                <w:color w:val="000000" w:themeColor="text1"/>
                <w:sz w:val="25"/>
                <w:szCs w:val="25"/>
                <w:shd w:fill="auto" w:val="clear"/>
              </w:rPr>
              <w:t>35 кВ и ниже</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0,5S</w:t>
            </w:r>
          </w:p>
        </w:tc>
        <w:tc>
          <w:tcPr>
            <w:tcW w:w="15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1,0</w:t>
            </w:r>
          </w:p>
        </w:tc>
        <w:tc>
          <w:tcPr>
            <w:tcW w:w="250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r>
              <w:rPr>
                <w:rFonts w:cs="Liberation Serif" w:ascii="Liberation Serif" w:hAnsi="Liberation Serif"/>
                <w:color w:val="000000" w:themeColor="text1"/>
                <w:sz w:val="25"/>
                <w:szCs w:val="25"/>
                <w:shd w:fill="auto" w:val="clear"/>
                <w:lang w:val="en-US"/>
              </w:rPr>
              <w:t>S</w:t>
            </w:r>
          </w:p>
        </w:tc>
        <w:tc>
          <w:tcPr>
            <w:tcW w:w="25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ind w:firstLine="709"/>
              <w:contextualSpacing/>
              <w:jc w:val="center"/>
              <w:rPr>
                <w:highlight w:val="none"/>
                <w:shd w:fill="auto" w:val="clear"/>
              </w:rPr>
            </w:pPr>
            <w:r>
              <w:rPr>
                <w:rFonts w:cs="Liberation Serif" w:ascii="Liberation Serif" w:hAnsi="Liberation Serif"/>
                <w:color w:val="000000" w:themeColor="text1"/>
                <w:sz w:val="25"/>
                <w:szCs w:val="25"/>
                <w:shd w:fill="auto" w:val="clear"/>
              </w:rPr>
              <w:t>0,5</w:t>
            </w:r>
          </w:p>
        </w:tc>
      </w:tr>
    </w:tbl>
    <w:p>
      <w:pPr>
        <w:pStyle w:val="Normal"/>
        <w:widowControl w:val="false"/>
        <w:spacing w:before="0" w:after="0"/>
        <w:ind w:firstLine="709"/>
        <w:contextualSpacing/>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widowControl w:val="false"/>
        <w:numPr>
          <w:ilvl w:val="0"/>
          <w:numId w:val="2"/>
        </w:numPr>
        <w:tabs>
          <w:tab w:val="clear" w:pos="708"/>
          <w:tab w:val="left" w:pos="1260" w:leader="none"/>
        </w:tabs>
        <w:spacing w:before="0" w:after="0"/>
        <w:ind w:left="0" w:firstLine="709"/>
        <w:contextualSpacing/>
        <w:rPr>
          <w:highlight w:val="none"/>
          <w:shd w:fill="auto" w:val="clear"/>
        </w:rPr>
      </w:pPr>
      <w:r>
        <w:rPr>
          <w:rFonts w:cs="Liberation Serif" w:ascii="Liberation Serif" w:hAnsi="Liberation Serif"/>
          <w:b/>
          <w:bCs/>
          <w:color w:val="000000" w:themeColor="text1"/>
          <w:sz w:val="25"/>
          <w:szCs w:val="25"/>
          <w:shd w:fill="auto" w:val="clear"/>
        </w:rPr>
        <w:t>Средства телемеханики и связи</w:t>
      </w:r>
    </w:p>
    <w:p>
      <w:pPr>
        <w:pStyle w:val="Normal"/>
        <w:widowControl w:val="false"/>
        <w:spacing w:before="0" w:after="0"/>
        <w:ind w:firstLine="709"/>
        <w:contextualSpacing/>
        <w:rPr>
          <w:highlight w:val="none"/>
          <w:shd w:fill="auto" w:val="clear"/>
        </w:rPr>
      </w:pPr>
      <w:r>
        <w:rPr>
          <w:rFonts w:cs="Liberation Serif" w:ascii="Liberation Serif" w:hAnsi="Liberation Serif"/>
          <w:bCs/>
          <w:color w:val="000000" w:themeColor="text1"/>
          <w:sz w:val="25"/>
          <w:szCs w:val="25"/>
          <w:shd w:fill="auto" w:val="clear"/>
        </w:rPr>
        <w:t xml:space="preserve">6.1. </w:t>
      </w:r>
      <w:r>
        <w:rPr>
          <w:rFonts w:cs="Liberation Serif" w:ascii="Liberation Serif" w:hAnsi="Liberation Serif"/>
          <w:bCs/>
          <w:color w:val="000000"/>
          <w:sz w:val="25"/>
          <w:szCs w:val="25"/>
          <w:shd w:fill="auto" w:val="clear"/>
        </w:rPr>
        <w:t>Телемеханика</w:t>
      </w:r>
      <w:r>
        <w:rPr>
          <w:rFonts w:cs="Liberation Serif" w:ascii="Liberation Serif" w:hAnsi="Liberation Serif"/>
          <w:color w:val="000000"/>
          <w:sz w:val="25"/>
          <w:szCs w:val="25"/>
          <w:shd w:fill="auto" w:val="clear"/>
        </w:rPr>
        <w:t xml:space="preserve"> и связь должна обеспечивать возможность эксплуатации подстанции без постоянного обслуживающего оперативного персонала, а также контроля и управления оборудованием с удаленных диспетчерских центров. </w:t>
      </w:r>
    </w:p>
    <w:p>
      <w:pPr>
        <w:pStyle w:val="Normal"/>
        <w:widowControl w:val="false"/>
        <w:tabs>
          <w:tab w:val="clear" w:pos="708"/>
          <w:tab w:val="left" w:pos="1080" w:leader="none"/>
        </w:tabs>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6.2. Телемеханика и связь подстанции должна обеспечивать с удаленного центра управления: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 наблюдаемость схемы, режима, технического и оперативного состояния оборудования;</w:t>
      </w:r>
    </w:p>
    <w:p>
      <w:pPr>
        <w:pStyle w:val="Normal"/>
        <w:widowControl w:val="false"/>
        <w:tabs>
          <w:tab w:val="clear" w:pos="708"/>
          <w:tab w:val="left" w:pos="1080" w:leader="none"/>
        </w:tabs>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6.3. Устройство телемеханики (КП) должно быть совместимым (однотипным) с большей частью устройств телемеханики, использующимися на подстанциях соответствующего филиала и обеспечивать:</w:t>
      </w:r>
    </w:p>
    <w:p>
      <w:pPr>
        <w:pStyle w:val="Normal"/>
        <w:widowControl w:val="false"/>
        <w:tabs>
          <w:tab w:val="clear" w:pos="708"/>
          <w:tab w:val="left" w:pos="1080" w:leader="none"/>
        </w:tabs>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 не менее двух портов для связи с каждым устройством верхнего уровня;</w:t>
      </w:r>
    </w:p>
    <w:p>
      <w:pPr>
        <w:pStyle w:val="Normal"/>
        <w:widowControl w:val="false"/>
        <w:tabs>
          <w:tab w:val="clear" w:pos="708"/>
          <w:tab w:val="left" w:pos="1080" w:leader="none"/>
        </w:tabs>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 исполнение в напольном шкафу. В КП должен быть предусмотрен модуль синхронизации времени по GPS/ГЛОНАСС. Для КП предусмотреть гарантированное электропитание от двух источников. Предусматривать исключительно цифровые измерительные преобразователи, совместимые (однотипные) с преобразователями, использующимися на подстанциях соответствующего филиала.</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6.4. Объём телемеханизации ПС необходимо предусмотреть не менее следующего:</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Телесигнализация (ТС) положения выключателей главной</w:t>
      </w:r>
      <w:r>
        <w:rPr>
          <w:rFonts w:cs="Liberation Serif" w:ascii="Liberation Serif" w:hAnsi="Liberation Serif"/>
          <w:sz w:val="25"/>
          <w:szCs w:val="25"/>
          <w:shd w:fill="auto" w:val="clear"/>
        </w:rPr>
        <w:t xml:space="preserve"> </w:t>
      </w:r>
      <w:r>
        <w:rPr>
          <w:rFonts w:cs="Liberation Serif" w:ascii="Liberation Serif" w:hAnsi="Liberation Serif"/>
          <w:color w:val="000000"/>
          <w:sz w:val="25"/>
          <w:szCs w:val="25"/>
          <w:shd w:fill="auto" w:val="clear"/>
        </w:rPr>
        <w:t>электрической схемы ПС</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Телеуправление (ТУ) приводами выключателей главной электрической схемы подстанции.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 xml:space="preserve">Телесигнализация событий: аварийно-предупредительная сигнализация, телесигнализация с устройств РЗА. Телеизмерения текущие (ТИТ): </w:t>
      </w:r>
      <w:r>
        <w:rPr>
          <w:rFonts w:cs="Liberation Serif" w:ascii="Liberation Serif" w:hAnsi="Liberation Serif"/>
          <w:b/>
          <w:color w:val="000000"/>
          <w:sz w:val="25"/>
          <w:szCs w:val="25"/>
          <w:shd w:fill="auto" w:val="clear"/>
        </w:rPr>
        <w:t>мощность (суммарная активная, суммарная реактивная),</w:t>
      </w:r>
      <w:r>
        <w:rPr>
          <w:rFonts w:cs="Liberation Serif" w:ascii="Liberation Serif" w:hAnsi="Liberation Serif"/>
          <w:color w:val="000000"/>
          <w:sz w:val="25"/>
          <w:szCs w:val="25"/>
          <w:shd w:fill="auto" w:val="clear"/>
        </w:rPr>
        <w:t xml:space="preserve"> </w:t>
      </w:r>
      <w:r>
        <w:rPr>
          <w:rFonts w:cs="Liberation Serif" w:ascii="Liberation Serif" w:hAnsi="Liberation Serif"/>
          <w:b/>
          <w:color w:val="000000"/>
          <w:sz w:val="25"/>
          <w:szCs w:val="25"/>
          <w:shd w:fill="auto" w:val="clear"/>
        </w:rPr>
        <w:t>ток</w:t>
      </w:r>
      <w:r>
        <w:rPr>
          <w:rFonts w:cs="Liberation Serif" w:ascii="Liberation Serif" w:hAnsi="Liberation Serif"/>
          <w:color w:val="000000"/>
          <w:sz w:val="25"/>
          <w:szCs w:val="25"/>
          <w:shd w:fill="auto" w:val="clear"/>
        </w:rPr>
        <w:t xml:space="preserve"> для каждого присоединения ВЛ, секционных выключателей, обходных выключателей, фидеров; </w:t>
      </w:r>
      <w:r>
        <w:rPr>
          <w:rFonts w:cs="Liberation Serif" w:ascii="Liberation Serif" w:hAnsi="Liberation Serif"/>
          <w:b/>
          <w:color w:val="000000"/>
          <w:sz w:val="25"/>
          <w:szCs w:val="25"/>
          <w:shd w:fill="auto" w:val="clear"/>
        </w:rPr>
        <w:t>напряжение</w:t>
      </w:r>
      <w:r>
        <w:rPr>
          <w:rFonts w:cs="Liberation Serif" w:ascii="Liberation Serif" w:hAnsi="Liberation Serif"/>
          <w:color w:val="000000"/>
          <w:sz w:val="25"/>
          <w:szCs w:val="25"/>
          <w:shd w:fill="auto" w:val="clear"/>
        </w:rPr>
        <w:t xml:space="preserve"> линейное раздельно на каждой секции для всех напряжений, </w:t>
      </w:r>
      <w:r>
        <w:rPr>
          <w:rFonts w:cs="Liberation Serif" w:ascii="Liberation Serif" w:hAnsi="Liberation Serif"/>
          <w:b/>
          <w:color w:val="000000"/>
          <w:sz w:val="25"/>
          <w:szCs w:val="25"/>
          <w:shd w:fill="auto" w:val="clear"/>
        </w:rPr>
        <w:t>частота</w:t>
      </w:r>
      <w:r>
        <w:rPr>
          <w:rFonts w:cs="Liberation Serif" w:ascii="Liberation Serif" w:hAnsi="Liberation Serif"/>
          <w:color w:val="000000"/>
          <w:sz w:val="25"/>
          <w:szCs w:val="25"/>
          <w:shd w:fill="auto" w:val="clear"/>
        </w:rPr>
        <w:t xml:space="preserve"> сети.  Все передаваемые параметры сопровождаются метками времени.</w:t>
      </w:r>
    </w:p>
    <w:p>
      <w:pPr>
        <w:pStyle w:val="Normal"/>
        <w:ind w:firstLine="709"/>
        <w:rPr>
          <w:highlight w:val="none"/>
          <w:shd w:fill="auto" w:val="clear"/>
        </w:rPr>
      </w:pPr>
      <w:r>
        <w:rPr>
          <w:rFonts w:cs="Liberation Serif" w:ascii="Liberation Serif" w:hAnsi="Liberation Serif"/>
          <w:color w:val="000000"/>
          <w:sz w:val="25"/>
          <w:szCs w:val="25"/>
          <w:shd w:fill="auto" w:val="clear"/>
        </w:rPr>
        <w:t xml:space="preserve">6.5. Телемеханизацию предусмотреть на аппаратуре, которая будет полностью совместима с существующей на уровне аппаратного и программного обеспечения, мониторинга и управления, с использованием микропроцессорных измерительных преобразователей. </w:t>
      </w:r>
    </w:p>
    <w:p>
      <w:pPr>
        <w:pStyle w:val="Normal"/>
        <w:ind w:firstLine="709"/>
        <w:rPr>
          <w:highlight w:val="none"/>
          <w:shd w:fill="auto" w:val="clear"/>
        </w:rPr>
      </w:pPr>
      <w:r>
        <w:rPr>
          <w:rFonts w:cs="Liberation Serif" w:ascii="Liberation Serif" w:hAnsi="Liberation Serif"/>
          <w:color w:val="000000"/>
          <w:sz w:val="25"/>
          <w:szCs w:val="25"/>
          <w:shd w:fill="auto" w:val="clear"/>
        </w:rPr>
        <w:t xml:space="preserve">6.6. В устройстве ТМ предусмотреть установку управляющих контроллеров, полностью совместимых с существующей системой на уровне аппаратного и программного обеспечения, мониторинга и управления. Перечень сигналов ТС, ТУ, ТИ согласовать с филиалом ДРСК «Приморские ЭС». </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 xml:space="preserve">6.7. Иерархия </w:t>
      </w:r>
      <w:r>
        <w:rPr>
          <w:rFonts w:cs="Liberation Serif" w:ascii="Liberation Serif" w:hAnsi="Liberation Serif"/>
          <w:b/>
          <w:bCs/>
          <w:color w:val="000000"/>
          <w:sz w:val="25"/>
          <w:szCs w:val="25"/>
          <w:shd w:fill="auto" w:val="clear"/>
        </w:rPr>
        <w:t>оперативно-диспетчерского управления</w:t>
      </w:r>
      <w:r>
        <w:rPr>
          <w:rFonts w:cs="Liberation Serif" w:ascii="Liberation Serif" w:hAnsi="Liberation Serif"/>
          <w:color w:val="000000"/>
          <w:sz w:val="25"/>
          <w:szCs w:val="25"/>
          <w:shd w:fill="auto" w:val="clear"/>
        </w:rPr>
        <w:t xml:space="preserve"> подстанциями должна быть выстроена следующим образом: полный объем информации поступает на диспетчерский пункт районного уровня.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sz w:val="25"/>
          <w:szCs w:val="25"/>
          <w:shd w:fill="auto" w:val="clear"/>
        </w:rPr>
        <w:t xml:space="preserve">6.8. </w:t>
      </w:r>
      <w:r>
        <w:rPr>
          <w:rFonts w:cs="Liberation Serif" w:ascii="Liberation Serif" w:hAnsi="Liberation Serif"/>
          <w:b/>
          <w:bCs/>
          <w:color w:val="000000"/>
          <w:sz w:val="25"/>
          <w:szCs w:val="25"/>
          <w:shd w:fill="auto" w:val="clear"/>
        </w:rPr>
        <w:t>Система связи</w:t>
      </w:r>
      <w:r>
        <w:rPr>
          <w:rFonts w:cs="Liberation Serif" w:ascii="Liberation Serif" w:hAnsi="Liberation Serif"/>
          <w:color w:val="000000"/>
          <w:sz w:val="25"/>
          <w:szCs w:val="25"/>
          <w:shd w:fill="auto" w:val="clear"/>
        </w:rPr>
        <w:t>, в дополнение к действующим требованиям ПУЭ, должна в отсутствие постоянного оперативного персонала на подстанции обеспечить следующие требования:</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 xml:space="preserve">обеспечить организацию основного и резервного цифровых каналов связи и передачи данных ТМ в направлении ДЦ Находкинского РЭС, ЦУС ПЭС по двум независимым, </w:t>
      </w:r>
      <w:r>
        <w:rPr>
          <w:rFonts w:cs="Liberation Serif" w:ascii="Liberation Serif" w:hAnsi="Liberation Serif"/>
          <w:color w:val="000000"/>
          <w:sz w:val="25"/>
          <w:szCs w:val="26"/>
          <w:shd w:fill="auto" w:val="clear"/>
        </w:rPr>
        <w:t xml:space="preserve">географически разнесенным </w:t>
      </w:r>
      <w:r>
        <w:rPr>
          <w:rFonts w:cs="Liberation Serif" w:ascii="Liberation Serif" w:hAnsi="Liberation Serif"/>
          <w:color w:val="000000"/>
          <w:sz w:val="25"/>
          <w:szCs w:val="25"/>
          <w:shd w:fill="auto" w:val="clear"/>
        </w:rPr>
        <w:t>маршрутам ВОЛС, исключающим возможность одновременного отказа (вывода из работы) по общей причине</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скорость передачи информации по каналам ТМ должна обеспечивать технологические потребности функционирования устройств телемеханики, но не менее 64 Кбит/с по интерфейсу Ethernet – МЭК 60870-5-104;</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количество и тип интерфейсов оборудования связи определить рабочей документацией;</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обеспечить применение оборудования связи с учетом существующего в филиале;</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перечень проектируемых систем связи и укрупненный состав каждой из проектируемых систем связи;</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направления организации каналов связи (в форме таблицы информационных потоков) с указанием типа, емкости и назначения организуемых каналов связи и устройств связи.</w:t>
      </w:r>
    </w:p>
    <w:p>
      <w:pPr>
        <w:pStyle w:val="Normal"/>
        <w:widowControl w:val="false"/>
        <w:numPr>
          <w:ilvl w:val="0"/>
          <w:numId w:val="3"/>
        </w:numPr>
        <w:tabs>
          <w:tab w:val="clear" w:pos="708"/>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структурные схемы организации связи по проектируемым системам связи, а также общую структурную схему связи с отображением маршрутов прохождения основных и резервных (дублирующих) каналов связи (голос, данные) между объектом и соответствующими центрами управления филиала АО «ДРСК» «Приморские электрические сети»;</w:t>
      </w:r>
    </w:p>
    <w:p>
      <w:pPr>
        <w:pStyle w:val="Normal"/>
        <w:widowControl w:val="false"/>
        <w:numPr>
          <w:ilvl w:val="0"/>
          <w:numId w:val="3"/>
        </w:numPr>
        <w:tabs>
          <w:tab w:val="clear" w:pos="708"/>
          <w:tab w:val="left" w:pos="0" w:leader="none"/>
          <w:tab w:val="left" w:pos="993" w:leader="none"/>
        </w:tabs>
        <w:spacing w:before="0" w:after="0"/>
        <w:ind w:left="0" w:firstLine="720"/>
        <w:contextualSpacing/>
        <w:rPr>
          <w:highlight w:val="none"/>
          <w:shd w:fill="auto" w:val="clear"/>
        </w:rPr>
      </w:pPr>
      <w:r>
        <w:rPr>
          <w:rFonts w:cs="Liberation Serif" w:ascii="Liberation Serif" w:hAnsi="Liberation Serif"/>
          <w:color w:val="000000"/>
          <w:sz w:val="25"/>
          <w:szCs w:val="25"/>
          <w:shd w:fill="auto" w:val="clear"/>
        </w:rPr>
        <w:t xml:space="preserve">предусмотреть организацию ВОЛС с подвеской/прокладкой диэлектрического волоконно-оптического кабеля (ВОК) </w:t>
      </w:r>
    </w:p>
    <w:p>
      <w:pPr>
        <w:pStyle w:val="Normal"/>
        <w:widowControl w:val="false"/>
        <w:tabs>
          <w:tab w:val="clear" w:pos="708"/>
          <w:tab w:val="left" w:pos="0" w:leader="none"/>
          <w:tab w:val="left" w:pos="1620" w:leader="none"/>
        </w:tabs>
        <w:spacing w:before="0" w:after="0"/>
        <w:rPr>
          <w:highlight w:val="none"/>
          <w:shd w:fill="auto" w:val="clear"/>
        </w:rPr>
      </w:pPr>
      <w:r>
        <w:rPr>
          <w:rFonts w:cs="Liberation Serif" w:ascii="Liberation Serif" w:hAnsi="Liberation Serif"/>
          <w:color w:val="000000"/>
          <w:sz w:val="25"/>
          <w:szCs w:val="25"/>
          <w:shd w:fill="auto" w:val="clear"/>
        </w:rPr>
        <w:t xml:space="preserve">           </w:t>
      </w:r>
      <w:r>
        <w:rPr>
          <w:rFonts w:cs="Liberation Serif" w:ascii="Liberation Serif" w:hAnsi="Liberation Serif"/>
          <w:color w:val="000000"/>
          <w:sz w:val="25"/>
          <w:szCs w:val="25"/>
          <w:shd w:fill="auto" w:val="clear"/>
        </w:rPr>
        <w:t>- Описание трассы, заходов волоконно-оптической линии связи (ВОЛС) на объект.</w:t>
      </w:r>
    </w:p>
    <w:p>
      <w:pPr>
        <w:pStyle w:val="Normal"/>
        <w:widowControl w:val="false"/>
        <w:tabs>
          <w:tab w:val="clear" w:pos="708"/>
          <w:tab w:val="left" w:pos="0" w:leader="none"/>
          <w:tab w:val="left" w:pos="993" w:leader="none"/>
        </w:tabs>
        <w:spacing w:before="0" w:after="0"/>
        <w:contextualSpacing/>
        <w:rPr>
          <w:highlight w:val="none"/>
          <w:shd w:fill="auto" w:val="clear"/>
        </w:rPr>
      </w:pPr>
      <w:r>
        <w:rPr>
          <w:rFonts w:cs="Liberation Serif" w:ascii="Liberation Serif" w:hAnsi="Liberation Serif"/>
          <w:color w:val="000000"/>
          <w:sz w:val="25"/>
          <w:szCs w:val="25"/>
          <w:shd w:fill="auto" w:val="clear"/>
        </w:rPr>
        <w:t>Решения по организации электропитания систем связи и ТМ;</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Решения по организации электропитания систем ССПИ, систем связи и ТМ:</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Электропитание оборудования связи и телемеханики в помещении связи осуществить от двух независимых систем гарантированного питания (СГП).</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Каждая СГП должна быть подключена к двум секциям шин собственных нужд по трехфазной схеме АВР N1+N2, выполненной на базе модуля AVR-02 (или аналогичным с функциями контроля наличия фаз, контроля минимального и максимального напряжения, контроля чередования фаз, контроля асимметрии фаз, контроля положения контакторов, обеспечение задержки при переключении между вводами)</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Каждая СГП должна быть оснащена МИП с функциями контроля напряжения питания и тока потребления нагрузки по всем трем фазам, положения контакторов и аварийного сигнала АВР, поддержкой протоколов МЭК-101/104 или Modbus.</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Каждая СГП должна иметь панель распределения не гарантированного питания, предназначенную для подключения потребителей в помещении связи, не требующих гарантированного питания (Кондиционеры, отопление, приточно-вытяжная вентиляция, освещение, розетки для подключения электроинструмента и т.п.). Панель распределения не гарантированного питания должна быть оснащена устройством защиты от импульсных перенапряжений класса II+III.</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Каждая СГП должна быть оснащена ИБП с технологией двойного преобразования (On-line) 19” исполнения с коэффициентом мощности не менее 90%, с внешними аккумуляторными батареями, рассчитанными на время автономной работы не менее 6 часов. Мониторинг состояния ИБП осуществить по протоколу SNMP.</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xml:space="preserve">- Каждая СГП должна быть оснащена </w:t>
      </w:r>
      <w:r>
        <w:rPr>
          <w:rFonts w:cs="Liberation Serif" w:ascii="Liberation Serif" w:hAnsi="Liberation Serif"/>
          <w:color w:val="000000"/>
          <w:szCs w:val="26"/>
          <w:shd w:fill="auto" w:val="clear"/>
        </w:rPr>
        <w:t>модулем внешней обводной цепи MBU</w:t>
      </w:r>
      <w:r>
        <w:rPr>
          <w:rFonts w:cs="Liberation Serif" w:ascii="Liberation Serif" w:hAnsi="Liberation Serif"/>
          <w:color w:val="000000"/>
          <w:sz w:val="25"/>
          <w:szCs w:val="25"/>
          <w:shd w:fill="auto" w:val="clear"/>
        </w:rPr>
        <w:t xml:space="preserve"> в качестве bypass переключателя для вывода ИБП в ремонт или обслуживание без прерывания питания нагрузок.</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Каждая СГП должна иметь панель распределения гарантированного питания, предназначенную для подключения потребителей в помещении связи требующих гарантированного питания (Оборудование связи и телемеханики, контроллеры микроклимата, аварийное освещение и т.п.).</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Шкафы с оборудованием связи и телемеханики должны оборудоваться двумя вертикальными блоками розеток (PDU), подключенными к панелям распределения гарантированного питания основной и резервной СГП. Питание потребителей с двумя вводами должно осуществляться от PDU, подключенных к разным СГП. Питание потребителей с одним вводом должно осуществляться через дополнительный PDU горизонтального исполнения, подключенный к вертикальным PDU основной и резервной СГП через быстродействующий переключатель нагрузки ПРП-1. Каждый шкаф оснащается индивидуальным комплектом основного, резервного, дополнительного PDU, а также блоком ПРП-1 и должен быть подключен на отдельный автоматический выключатель панели распределения гарантированного питания основной и резервной СГП.</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При наличии свободного места в помещении связи СГП собираются в двух разных шкафах с симметричным расположением оборудования и четким разделением на основную и резервную. При необходимости экономии места допустим монтаж АВР, МИП и автоматических выключателей в отдельных настенных шкафах с монтажной панелью, а ИБП и их батарей в шкафах связи или телемеханики при соблюдении требования к симметричному расположению оборудования и четкому разделению систем на основную и резервную.</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Система поддержания микроклимата в помещении связи:</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Для обеспечения стабильного температурного режима помещения связи в круглогодичном режиме предусмотреть установку двух сплит систем, оснащенных зимним комплектом, и системы отопления на базе обогревателей конвекционного типа. Управление системой поддержания микроклимата выполнить на базе контроллера СРК-М2 с функциями управления как устройствами кондиционирования, так и отопления, ротации устройств кондиционирования, автоматического переключения между режимами кондиционирования и отопления, поддержкой протокола SNMP и web-интерфейсом для дистанционного мониторинга и управления.</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Требования к расположению и компоновки шкафов в помещении связи:</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Все резервируемые системы связи и телемеханики должны располагаться в отдельных шкафах с разделением систем на основную и резервную.</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Шкафы должны располагаться в помещении связи с учетом двустороннего обслуживания.</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Шкафы с активной системой вентиляции должны быть оснащены перфорированными дверьми.</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Требования по обеспечению информационной безопасности:</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Должна быть предусмотрена защита всей передаваемой по каналам связи информации посредством использования сертифицированных средств криптографической защиты информации и сертифицированных межсетевых экранов.</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Любое аппаратное обеспечение (включая автоматизированные рабочие места, телекоммуникационное оборудование), осуществляющее обработку и/или передачу информации, должно входить в Единый реестр российской радиоэлектронной продукции (Постановление Правительства РФ от 10.07.2019 № 878);</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В случае применения программно-аппаратных или программных средств защиты информации необходимо соблюдать требования к их наличию в Реестре российского ПО;</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Все используемое программное обеспечение (включая системное и прикладное) должно входить в Единый реестр российских программ для электронных вычислительных машин и баз данных (Федеральный Закон от 27.07.2006 № 149-ФЗ);</w:t>
      </w:r>
    </w:p>
    <w:p>
      <w:pPr>
        <w:pStyle w:val="Normal"/>
        <w:widowControl w:val="false"/>
        <w:spacing w:before="0" w:after="0"/>
        <w:ind w:firstLine="708"/>
        <w:rPr>
          <w:highlight w:val="none"/>
          <w:shd w:fill="auto" w:val="clear"/>
        </w:rPr>
      </w:pPr>
      <w:r>
        <w:rPr>
          <w:rFonts w:cs="Liberation Serif" w:ascii="Liberation Serif" w:hAnsi="Liberation Serif"/>
          <w:color w:val="000000"/>
          <w:sz w:val="25"/>
          <w:szCs w:val="25"/>
          <w:shd w:fill="auto" w:val="clear"/>
        </w:rPr>
        <w:t>- Автоматизированные рабочие места и серверы должны настраиваться с учетом требования нормативных документов АО «ДРСК» по информационной безопасности. На АРМ и серверах в обязательном порядке должно быть предусмотрено наличие средств защиты информации, включая средства антивирусной защиты.</w:t>
      </w:r>
    </w:p>
    <w:p>
      <w:pPr>
        <w:pStyle w:val="Normal"/>
        <w:widowControl w:val="false"/>
        <w:tabs>
          <w:tab w:val="clear" w:pos="708"/>
          <w:tab w:val="left" w:pos="5685" w:leader="none"/>
        </w:tabs>
        <w:spacing w:before="0" w:after="0"/>
        <w:ind w:firstLine="708"/>
        <w:rPr>
          <w:highlight w:val="none"/>
          <w:shd w:fill="auto" w:val="clear"/>
        </w:rPr>
      </w:pPr>
      <w:r>
        <w:rPr>
          <w:rFonts w:cs="Liberation Serif" w:ascii="Liberation Serif" w:hAnsi="Liberation Serif"/>
          <w:color w:val="000000"/>
          <w:sz w:val="25"/>
          <w:szCs w:val="26"/>
          <w:shd w:fill="auto" w:val="clear"/>
        </w:rPr>
        <w:t>- При организации каналов передачи данных должно быть соблюдено требование ПАО «РусГидро» о необходимости физического разделения технологической и корпоративной сетей передачи данных.</w:t>
      </w:r>
    </w:p>
    <w:p>
      <w:pPr>
        <w:pStyle w:val="Normal"/>
        <w:widowControl w:val="false"/>
        <w:spacing w:before="0" w:after="0"/>
        <w:ind w:firstLine="709"/>
        <w:rPr>
          <w:highlight w:val="none"/>
          <w:shd w:fill="auto" w:val="clear"/>
        </w:rPr>
      </w:pPr>
      <w:r>
        <w:rPr>
          <w:rFonts w:cs="Liberation Serif" w:ascii="Liberation Serif" w:hAnsi="Liberation Serif"/>
          <w:color w:val="000000"/>
          <w:sz w:val="25"/>
          <w:szCs w:val="25"/>
          <w:shd w:fill="auto" w:val="clear"/>
        </w:rPr>
        <w:t>6.9. Предусмотреть прокладку двух ВОЛС по проектируемым ЛЭП 110 кВ от ПС 110 кВ Советская до ПС 110 кВ Находка.</w:t>
      </w:r>
    </w:p>
    <w:p>
      <w:pPr>
        <w:pStyle w:val="Normal"/>
        <w:widowControl w:val="false"/>
        <w:spacing w:before="0" w:after="0"/>
        <w:ind w:firstLine="709"/>
        <w:contextualSpacing/>
        <w:rPr>
          <w:rFonts w:ascii="Liberation Serif" w:hAnsi="Liberation Serif" w:cs="Liberation Serif"/>
          <w:b/>
          <w:bCs/>
          <w:color w:val="000000" w:themeColor="text1"/>
          <w:sz w:val="25"/>
          <w:szCs w:val="25"/>
          <w:highlight w:val="none"/>
          <w:shd w:fill="auto" w:val="clear"/>
        </w:rPr>
      </w:pPr>
      <w:r>
        <w:rPr>
          <w:rFonts w:cs="Liberation Serif" w:ascii="Liberation Serif" w:hAnsi="Liberation Serif"/>
          <w:b/>
          <w:bCs/>
          <w:color w:val="000000" w:themeColor="text1"/>
          <w:sz w:val="25"/>
          <w:szCs w:val="25"/>
          <w:shd w:fill="auto" w:val="clear"/>
        </w:rPr>
      </w:r>
    </w:p>
    <w:p>
      <w:pPr>
        <w:pStyle w:val="Normal"/>
        <w:widowControl w:val="false"/>
        <w:spacing w:before="0" w:after="0"/>
        <w:ind w:firstLine="709"/>
        <w:contextualSpacing/>
        <w:rPr>
          <w:highlight w:val="none"/>
          <w:shd w:fill="auto" w:val="clear"/>
        </w:rPr>
      </w:pPr>
      <w:r>
        <w:rPr>
          <w:rFonts w:cs="Liberation Serif" w:ascii="Liberation Serif" w:hAnsi="Liberation Serif"/>
          <w:b/>
          <w:bCs/>
          <w:color w:val="000000" w:themeColor="text1"/>
          <w:sz w:val="25"/>
          <w:szCs w:val="25"/>
          <w:shd w:fill="auto" w:val="clear"/>
        </w:rPr>
        <w:t>7. Строительная часть подстанции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7.1. Для устанавливаемого оборудования предусмотреть поверхностные фундаменты лежневого типа, либо иные по обоснованию. </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7.2. Железобетонным изделиям с элементами заглублений должна предусматриваться гидроизоляция не менее чем в два слоя. </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7.3. Под устанавливаемые фундаменты предусмотреть подушку из щебня фракции 20-40 мм, толщиной не менее 200 мм.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7.4. Для силовых трансформаторов предусмотреть маслоприёмники, маслосборники.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7.5. Установку силовых трансформаторов предусмотреть на железобетонном фундаменте с возможностью установки следующего по мощности габарита силового трансформатора.</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7.6. Предусмотреть ограждение ПС по всему периметру сплошным железобетонным забором высотой не менее 2,5 метров. Поверх бетонного ограждения предусмотреть монтаж егозы. Предусмотреть защитные мероприятия, препятствующие подкопу забора в целях проникновения на территорию ПС.</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7.7. Для устанавливаемого оборудования предусмотреть заземляющее устройство, систему уравнивания потенциалов, устройства молниезащиты в соответствии с требованиями СО 153-34.21.122-2003 «Инструкция по устройству молниезащиты зданий, сооружений и промышленных коммуникаций», ПУЭ.</w:t>
      </w:r>
    </w:p>
    <w:p>
      <w:pPr>
        <w:pStyle w:val="Normal"/>
        <w:widowControl w:val="false"/>
        <w:spacing w:before="0" w:after="0"/>
        <w:ind w:firstLine="709"/>
        <w:contextualSpacing/>
        <w:rPr>
          <w:highlight w:val="none"/>
          <w:shd w:fill="auto" w:val="clear"/>
        </w:rPr>
      </w:pPr>
      <w:r>
        <w:rPr>
          <w:rFonts w:ascii="Liberation Serif" w:hAnsi="Liberation Serif"/>
          <w:shd w:fill="auto" w:val="clear"/>
        </w:rPr>
        <w:t>7.8. Требования к ограждению:</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ограждение внешним забором должно соответствовать требованиям норм технологического проектирования ПС (ГОСТ Р 57278-2016, ПУЭ 7, СТО 56947007-29.240.10.248-2017).</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выбор типа ограждения ПС: бетонное, кирпичное металлическое (сплошное или просматриваемое).</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определить высоту основного ограждения, учитывая риски совершения актов незаконного вмешательства в отношении объекта.</w:t>
      </w:r>
    </w:p>
    <w:p>
      <w:pPr>
        <w:pStyle w:val="Normal"/>
        <w:widowControl w:val="false"/>
        <w:spacing w:before="0" w:after="0"/>
        <w:ind w:firstLine="709"/>
        <w:contextualSpacing/>
        <w:rPr>
          <w:highlight w:val="none"/>
          <w:shd w:fill="auto" w:val="clear"/>
        </w:rPr>
      </w:pPr>
      <w:r>
        <w:rPr>
          <w:rFonts w:ascii="Liberation Serif" w:hAnsi="Liberation Serif"/>
          <w:shd w:fill="auto" w:val="clear"/>
        </w:rPr>
        <w:t xml:space="preserve">-  при выборе основного ограждения территории ПС, учитывать, что сплошные металлические ворота и калитки конструктивно не должны позволять свободно преодолевать их, обеспечив жесткую фиксацию в закрытом (открытом) положении. </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определить необходимость установки дополнительного верхнего (используется против перелаза) и нижнего ограждения (используется против подкопа).</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при расположении ПС вблизи дорог общего пользования необходимо предусматривать мероприятия, исключающие прорыв на территорию объекта автомобильного транспорта в случае дорожно-транспортных происшествий (применение конструкций сетчатых и решетчатых ограждений повышенной прочности, устройство фундаментов ограждений в виде железобетонного цоколя высотой не менее 0,5 м с заглублением в грунт не менее 0,5 м, установка дополнительных бетонных заграждений и т.п.).</w:t>
      </w:r>
    </w:p>
    <w:p>
      <w:pPr>
        <w:pStyle w:val="Normal"/>
        <w:widowControl w:val="false"/>
        <w:spacing w:before="0" w:after="0"/>
        <w:ind w:firstLine="709"/>
        <w:contextualSpacing/>
        <w:rPr>
          <w:highlight w:val="none"/>
          <w:shd w:fill="auto" w:val="clear"/>
        </w:rPr>
      </w:pPr>
      <w:r>
        <w:rPr>
          <w:rFonts w:ascii="Liberation Serif" w:hAnsi="Liberation Serif"/>
          <w:shd w:fill="auto" w:val="clear"/>
        </w:rPr>
        <w:t>7.9. Требования к системе охранного освещения:</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условия необходимых условий видимости границ периметра, ограждения, территории объекта и охраняемых зон должны соответствовать СНиП 23-05-95 «Естественное и исскуственное освещение».</w:t>
      </w:r>
    </w:p>
    <w:p>
      <w:pPr>
        <w:pStyle w:val="Normal"/>
        <w:widowControl w:val="false"/>
        <w:spacing w:before="0" w:after="0"/>
        <w:ind w:firstLine="709"/>
        <w:contextualSpacing/>
        <w:rPr>
          <w:highlight w:val="none"/>
          <w:shd w:fill="auto" w:val="clear"/>
        </w:rPr>
      </w:pPr>
      <w:r>
        <w:rPr>
          <w:rFonts w:ascii="Liberation Serif" w:hAnsi="Liberation Serif"/>
          <w:shd w:fill="auto" w:val="clear"/>
        </w:rPr>
        <w:t xml:space="preserve"> </w:t>
      </w:r>
      <w:r>
        <w:rPr>
          <w:rFonts w:ascii="Liberation Serif" w:hAnsi="Liberation Serif"/>
          <w:shd w:fill="auto" w:val="clear"/>
        </w:rPr>
        <w:t>-  обеспечение осветительных приборов защитой от коррозии (окраска, оцинковка и т. п.), аппаратурой управления освещением, кабельными сетями.</w:t>
      </w:r>
    </w:p>
    <w:p>
      <w:pPr>
        <w:pStyle w:val="Normal"/>
        <w:widowControl w:val="false"/>
        <w:spacing w:before="0" w:after="0"/>
        <w:ind w:firstLine="709"/>
        <w:contextualSpacing/>
        <w:rPr>
          <w:highlight w:val="none"/>
          <w:shd w:fill="auto" w:val="clear"/>
        </w:rPr>
      </w:pPr>
      <w:r>
        <w:rPr>
          <w:rFonts w:ascii="Liberation Serif" w:hAnsi="Liberation Serif"/>
          <w:shd w:fill="auto" w:val="clear"/>
        </w:rPr>
        <w:t>7.10. Требования к системе охранного видеонаблюдения (СОТ):</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установка систем видеонаблюдения в соответствии с ГОСТ Р 51558-2014 «Средства и системы охранные телевизионные. Классификация. Общие технические требования. Методы испытаний».</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при производстве работ предусматривать материалы и оборудование, имеющие действующие сертификаты качества, соответствующие ГОСТам и ТУ, состоящее в реестре Российской промышленной продукции, не должны быть ранее не бывшими в эксплуатации, не снятыми с производства, иметь гарантийный срок, установленный заводом-производителем.</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запись изображений с видеокамер должна вестись непрерывно, располагаться вне свободного доступа, иметь защиту от вмешательства посторонних лиц.</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разрешающая способность видеокамер должна обеспечивать качество изображения в дневное и ночное время, необходимое для четкого зрительного распознавания лиц, автомобильных государственных знаков.</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система должна осуществлять круглосуточную запись видеоинформации с указанием номера видеокамеры, даты и времени, обеспечивать запись и поиск информации по движению, событию и времени.</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средства архивирования видеоинформации должны обеспечивать архив системы объемом не менее 15 суток по максимальным параметрам записи с установкой на жесткий диск для систем круглосуточного видеонаблюдения и иметь функцию удаленного подключения к хранилищу с видеоинформацией.</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определить необходимость удаленного хранения информации.</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система должна предусматривать возможность выполнения действий параллельно процессу записи: оперативный поиск и просмотр видеозаписи с заданной камеры за указанный временной интервал в пределах 15 суток и предусматривать сохранение интересующего фрагмента видеозаписи на USB-карте памяти или на жестком диске.</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электропитание комплекса СОТ должно быть бесперебойным и предусматривать два независимых источника,  переключения с основного электропитания на резервное и обратно в автоматическом режиме, без нарушения работы технических средств охраны.</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предусматривать заземление оборудования и устройств в соответствии с требованиями СНиП 3.05.06-85, ПУЭ, ГОСТ 2.1.030 – 81 и технической документацией предприятий - изготовителей.</w:t>
      </w:r>
    </w:p>
    <w:p>
      <w:pPr>
        <w:pStyle w:val="Normal"/>
        <w:widowControl w:val="false"/>
        <w:spacing w:before="0" w:after="0"/>
        <w:ind w:firstLine="709"/>
        <w:contextualSpacing/>
        <w:rPr>
          <w:highlight w:val="none"/>
          <w:shd w:fill="auto" w:val="clear"/>
        </w:rPr>
      </w:pPr>
      <w:r>
        <w:rPr>
          <w:rFonts w:ascii="Liberation Serif" w:hAnsi="Liberation Serif"/>
          <w:shd w:fill="auto" w:val="clear"/>
        </w:rPr>
        <w:t>7.11. Требования к охранной сигнализации для защиты ПС от несанкционированного проникновения:</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определить необходимые объекты и помещения для установки сигнализации.</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определить помещения, внутри которых необходима установка сигнализации.</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определить необходимость установки сигнализации на окнах, на ограждении (дверях, воротах).</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предусмотреть вывод сигнала тревоги с охраняемого объекта, помещения на пульт диспетчера с возможностью удаленной постановки сигнализации на охрану и снятием с охраны.</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провода и кабели, прокладываемые открыто, должны быть защищены от механических повреждений металлическими профилями или проложены в пластмассовых трубах или металлорукавах.</w:t>
      </w:r>
    </w:p>
    <w:p>
      <w:pPr>
        <w:pStyle w:val="Normal"/>
        <w:widowControl w:val="false"/>
        <w:spacing w:before="0" w:after="0"/>
        <w:ind w:firstLine="709"/>
        <w:contextualSpacing/>
        <w:rPr>
          <w:highlight w:val="none"/>
          <w:shd w:fill="auto" w:val="clear"/>
        </w:rPr>
      </w:pPr>
      <w:r>
        <w:rPr>
          <w:rFonts w:ascii="Liberation Serif" w:hAnsi="Liberation Serif"/>
          <w:shd w:fill="auto" w:val="clear"/>
        </w:rPr>
        <w:t>7.12. По линии защиты информации.</w:t>
      </w:r>
    </w:p>
    <w:p>
      <w:pPr>
        <w:pStyle w:val="Normal"/>
        <w:widowControl w:val="false"/>
        <w:spacing w:before="0" w:after="0"/>
        <w:ind w:firstLine="709"/>
        <w:contextualSpacing/>
        <w:rPr>
          <w:highlight w:val="none"/>
          <w:shd w:fill="auto" w:val="clear"/>
        </w:rPr>
      </w:pPr>
      <w:r>
        <w:rPr>
          <w:rFonts w:ascii="Liberation Serif" w:hAnsi="Liberation Serif"/>
          <w:shd w:fill="auto" w:val="clear"/>
        </w:rPr>
        <w:tab/>
        <w:t xml:space="preserve">Для всех объектов: </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все аппаратные и программные средства должны соответствовать требованиям руководящих документов Правительства РФ по импортозамещению.</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исключение возможности использования беспроводной сети передачи данных, при наличии обоснованной необходимости в таком виде связи, исключить взаимодействие с технологической сетью передачи данных (далее — ТСПД) и корпоративной сетью передачи данных (далее — КСПД).</w:t>
      </w:r>
    </w:p>
    <w:p>
      <w:pPr>
        <w:pStyle w:val="Normal"/>
        <w:widowControl w:val="false"/>
        <w:spacing w:before="0" w:after="0"/>
        <w:ind w:firstLine="709"/>
        <w:contextualSpacing/>
        <w:rPr>
          <w:highlight w:val="none"/>
          <w:shd w:fill="auto" w:val="clear"/>
        </w:rPr>
      </w:pPr>
      <w:r>
        <w:rPr>
          <w:rFonts w:ascii="Liberation Serif" w:hAnsi="Liberation Serif"/>
          <w:shd w:fill="auto" w:val="clear"/>
        </w:rPr>
        <w:tab/>
        <w:t xml:space="preserve">Для обособленных объектов без персонала: </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установка криптошлюза в коммутационный шкаф внутри объекта для защиты каналов связи ТСПД.</w:t>
      </w:r>
    </w:p>
    <w:p>
      <w:pPr>
        <w:pStyle w:val="Normal"/>
        <w:widowControl w:val="false"/>
        <w:spacing w:before="0" w:after="0"/>
        <w:ind w:firstLine="709"/>
        <w:contextualSpacing/>
        <w:rPr>
          <w:highlight w:val="none"/>
          <w:shd w:fill="auto" w:val="clear"/>
        </w:rPr>
      </w:pPr>
      <w:r>
        <w:rPr>
          <w:rFonts w:ascii="Liberation Serif" w:hAnsi="Liberation Serif"/>
          <w:shd w:fill="auto" w:val="clear"/>
        </w:rPr>
        <w:tab/>
        <w:t xml:space="preserve">Для объектов, имеющих персонал: </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установка криптошлюза в коммутационный шкаф внутри объекта для защиты каналов связи ТСПД.</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установка криптошлюза (технология ViPNet) в коммутационный шкаф внутри объекта для защиты каналов связи КСПД.</w:t>
      </w:r>
    </w:p>
    <w:p>
      <w:pPr>
        <w:pStyle w:val="Normal"/>
        <w:widowControl w:val="false"/>
        <w:spacing w:before="0" w:after="0"/>
        <w:ind w:firstLine="709"/>
        <w:contextualSpacing/>
        <w:rPr>
          <w:highlight w:val="none"/>
          <w:shd w:fill="auto" w:val="clear"/>
        </w:rPr>
      </w:pPr>
      <w:r>
        <w:rPr>
          <w:rFonts w:ascii="Liberation Serif" w:hAnsi="Liberation Serif"/>
          <w:shd w:fill="auto" w:val="clear"/>
        </w:rPr>
        <w:t>-  установка средств антивирусной защиты информации и средств контроля за съемными магнитными носителями информации на автоматизированные рабочие места сотрудников.</w:t>
      </w:r>
    </w:p>
    <w:p>
      <w:pPr>
        <w:pStyle w:val="Normal"/>
        <w:widowControl w:val="false"/>
        <w:spacing w:before="0" w:after="0"/>
        <w:ind w:firstLine="709"/>
        <w:contextualSpacing/>
        <w:rPr>
          <w:highlight w:val="none"/>
          <w:shd w:fill="auto" w:val="clear"/>
        </w:rPr>
      </w:pPr>
      <w:r>
        <w:rPr>
          <w:rFonts w:ascii="Liberation Serif" w:hAnsi="Liberation Serif"/>
          <w:shd w:fill="auto" w:val="clear"/>
        </w:rPr>
        <w:t>-  ограничение доступа лиц, не состоящих в оперативно-диспетчерской группе к автоматизированным рабочим местам диспетчеров.</w:t>
      </w:r>
    </w:p>
    <w:p>
      <w:pPr>
        <w:pStyle w:val="Normal"/>
        <w:widowControl w:val="false"/>
        <w:spacing w:before="0" w:after="0"/>
        <w:ind w:firstLine="709"/>
        <w:contextualSpacing/>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widowControl w:val="false"/>
        <w:spacing w:before="0" w:after="0"/>
        <w:ind w:firstLine="709"/>
        <w:contextualSpacing/>
        <w:rPr>
          <w:highlight w:val="none"/>
          <w:shd w:fill="auto" w:val="clear"/>
        </w:rPr>
      </w:pPr>
      <w:r>
        <w:rPr>
          <w:rFonts w:cs="Liberation Serif" w:ascii="Liberation Serif" w:hAnsi="Liberation Serif"/>
          <w:b/>
          <w:color w:val="000000" w:themeColor="text1"/>
          <w:sz w:val="25"/>
          <w:szCs w:val="25"/>
          <w:shd w:fill="auto" w:val="clear"/>
        </w:rPr>
        <w:t>8. Конструктивное исполнение ЛЭП 110 кВ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8.1.</w:t>
        <w:tab/>
        <w:t>Количество цепей: две одноцепных;</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8.2.</w:t>
        <w:tab/>
        <w:t>Протяженность: 2*0,9 км, уточняется при проектировании;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8.3.</w:t>
        <w:tab/>
        <w:t>Исполнение: кабельное.</w:t>
      </w:r>
    </w:p>
    <w:p>
      <w:pPr>
        <w:pStyle w:val="Normal"/>
        <w:widowControl w:val="false"/>
        <w:spacing w:before="0" w:after="0"/>
        <w:ind w:firstLine="709"/>
        <w:contextualSpacing/>
        <w:rPr>
          <w:highlight w:val="none"/>
          <w:shd w:fill="auto" w:val="clear"/>
        </w:rPr>
      </w:pPr>
      <w:r>
        <w:rPr>
          <w:rFonts w:cs="Liberation Serif" w:ascii="Liberation Serif" w:hAnsi="Liberation Serif"/>
          <w:b/>
          <w:color w:val="000000" w:themeColor="text1"/>
          <w:sz w:val="25"/>
          <w:szCs w:val="25"/>
          <w:shd w:fill="auto" w:val="clear"/>
        </w:rPr>
        <w:t>8.4.</w:t>
        <w:tab/>
        <w:t>Технические требования для ЛЭП 110 кВ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 Предусмотреть замену существующих опор</w:t>
      </w:r>
      <w:r>
        <w:rPr>
          <w:rFonts w:ascii="Liberation Serif" w:hAnsi="Liberation Serif"/>
          <w:sz w:val="25"/>
          <w:szCs w:val="25"/>
          <w:shd w:fill="auto" w:val="clear"/>
        </w:rPr>
        <w:t xml:space="preserve"> ВЛ 110 кВ Находка — Учебная №1 и ВЛ 110 кВ Находка – Учебная №2 в местах подключения к ним строящихся ЛЭП 110 кВ.</w:t>
      </w:r>
      <w:r>
        <w:rPr>
          <w:rFonts w:ascii="Liberation Serif" w:hAnsi="Liberation Serif"/>
          <w:color w:val="000000"/>
          <w:sz w:val="24"/>
          <w:szCs w:val="24"/>
          <w:shd w:fill="auto" w:val="clear"/>
        </w:rPr>
        <w:t xml:space="preserve"> Тип, марку и материал переходных (кабельных) опор проектируемых ЛЭП определить проектом по результатам технико-экономического сравнения, с применением защиты металлоконструкций опор, выполненной методом горячего или термодиффузионного оцинкования с дополнительным применением стойких лакокрасочных покрытий. </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 Тип фундамента определить проектом, в соответствии с выбранным типом опор и по результатам изысканий.</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8.4.3. Выполнить обварку болтовых соединений опоры на высоту до 5 метров.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8.4.4. Выполнить гидроизоляцию конструкций опор, соприкасающихся с грунтом.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8.4.5. Применить метизы анодированные.</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8.4.6. Выполнить оснащение вновь устанавливаемых опор стационарной страховочной системой для подъема на опору (жесткая анкерная линия) для опор ЛЭП, к которым невозможен подъезд специализированной подъемной техники (сложный рельеф местности, плотная застройка населенного пункта и т.п.).</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8.4.7. Определить величину заземляющего устройства для переходных опор, позволяющую не превысить импульсную прочность оболочки КЛ.</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8.4.8. Применить стеклянную изоляцию с повышенной длиной пути утечки, соответствующие местности по степени загрязнения атмосферы и климатическим районам, тип и марку определить проектом.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8.4.9. Применить линейную и сцепную спиральной арматуры из немагнитных материалов, не требующей обслуживания и ремонта в течении всего срока эксплуатации ВЛ.</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8.4.10. Предусмотреть установку птицезащитных и противоприсадочных устройств на вновь устанавливаемые опоры ВЛ. Тип и марку устройств определить проектом.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xml:space="preserve">8.4.11. Силовой кабель принять одножильный с изоляцией из сшитого полиэтилена </w:t>
      </w:r>
      <w:r>
        <w:rPr>
          <w:rFonts w:ascii="Liberation Serif" w:hAnsi="Liberation Serif"/>
          <w:sz w:val="25"/>
          <w:szCs w:val="25"/>
          <w:shd w:fill="auto" w:val="clear"/>
        </w:rPr>
        <w:t>сечением жил не менее 185 мм</w:t>
      </w:r>
      <w:r>
        <w:rPr>
          <w:rFonts w:ascii="Liberation Serif" w:hAnsi="Liberation Serif"/>
          <w:sz w:val="25"/>
          <w:szCs w:val="25"/>
          <w:shd w:fill="auto" w:val="clear"/>
          <w:vertAlign w:val="superscript"/>
        </w:rPr>
        <w:t>2</w:t>
      </w:r>
      <w:r>
        <w:rPr>
          <w:rFonts w:ascii="Liberation Serif" w:hAnsi="Liberation Serif"/>
          <w:sz w:val="25"/>
          <w:szCs w:val="25"/>
          <w:shd w:fill="auto" w:val="clear"/>
        </w:rPr>
        <w:t xml:space="preserve"> </w:t>
      </w:r>
      <w:r>
        <w:rPr>
          <w:rFonts w:cs="Liberation Serif" w:ascii="Liberation Serif" w:hAnsi="Liberation Serif"/>
          <w:color w:val="000000" w:themeColor="text1"/>
          <w:sz w:val="25"/>
          <w:szCs w:val="25"/>
          <w:shd w:fill="auto" w:val="clear"/>
        </w:rPr>
        <w:t>с усиленной оболочкой, двойной герметизацией (продольной, поперечной) водоблокирующими лентами, с медным экраном, с укладкой в треугольник и скрепление кабелей между собой кабельным скотчем. Тип, марку и сечение кабеля и экрана кабеля уточнить проектом по условиям допустимого нагрева КЛ в нормальном и послеаварийном режимах работы, а также с учетом перспективного роста нагрузок и токов КЗ.</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8.4.12. Выбор сечения и способа заземления экрана кабеля определить в проекте с учетом допустимого нагрева КЛ в нормальном и послеаварийном режимах работы.</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8.4.13. Укладку кабелей проектируемой ЛЭП выполнить в отдельных кабельных ж/б лотках с засыпкой лотков ПГС.</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8.4.14. Предусмотреть укладку ж/б лотков в подготовленную траншею, с поочередной засыпкой и трамбовкой песка, подушка не менее 150 мм.</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8.4.15. Предусмотреть герметизацию кабельных лотков, места входа и выхода кабелей из ж/б лотков заделать кирпичной кладкой и загерметизировать.</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8.4.16. Над железобетонными плитами предусмотреть укладку:</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полноразмерного электронного маркера для облегчения поиска подземных коммуникаций;</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 сигнальных лент на расстоянии 500 – 800 мм выше верхней жилы кабеля.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8.4.17. Коробки заземления экранов установить на высоте, позволяющей производить эксплуатационные испытания КЛ 110 кВ без подъема на опору на высоте 3-5 метров.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8.4.18. Предусмотреть установку концевых муфт кабельного участка линии с подключением к воздушному участку ВЛ 110 кВ Находка — Учебная №1 / ВЛ 110 кВ Находка — Учебная №2 по схеме «ответвлений»</w:t>
      </w:r>
      <w:r>
        <w:rPr>
          <w:rFonts w:cs="Liberation Serif" w:ascii="Liberation Serif" w:hAnsi="Liberation Serif"/>
          <w:strike/>
          <w:color w:val="000000"/>
          <w:sz w:val="25"/>
          <w:szCs w:val="25"/>
          <w:shd w:fill="auto" w:val="clear"/>
        </w:rPr>
        <w:t>.</w:t>
      </w:r>
      <w:r>
        <w:rPr>
          <w:rFonts w:cs="Liberation Serif" w:ascii="Liberation Serif" w:hAnsi="Liberation Serif"/>
          <w:color w:val="000000" w:themeColor="text1"/>
          <w:sz w:val="25"/>
          <w:szCs w:val="25"/>
          <w:shd w:fill="auto" w:val="clear"/>
        </w:rPr>
        <w:t xml:space="preserve"> Тип и марку муфт определить проектом в соответствии с выбранной маркой кабеля.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8.4.19. При подъеме кабеля на опоры предусмотреть его защиту на высоту не менее 3-х метров защитными трубами из немагнитных материалов, трубу закрепить к металлоконструкции опор.</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8.4.20. Предусмотреть монтаж ОПН повышенной энергоемкости на вновь устанавливаемых опорах для защиты кабельной вставки.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8.4.21. На пересечении с автодорогами и водными преградами укладку КЛ предусмотреть в немагнитных защитных трубах повышенной термостойкости (категории ПВ-0) с защитной оболочкой с применением технологии горизонтально-направленного бурения, при этом обеспечить:</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8.4.21.1. Прокладку одной резервной трубы.</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8.4.21.2. Входы и выходы кабелей из труб, а также торцы резервных труб, должны быть загерметизированы.</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8.4.21.3. Запрещено принимать и использовать трубы, если в их маркировке содержатся упоминания следующих материалов, не обладающих достаточной для кабелей напряжением выше 1 кВ термостойкостью, стойкостью к горению, механической прочностью: PE, HDPE, LDPE, LLDPE, PE-RT, PERT, ПЭ 63, ПЭ 80, ПЭ 100, ПНД, ПВД, вторичное сырье («техническая труба»).</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8.4.22. Обеспечить минимальный перерыв электроснабжения потребителей, при необходимости разработать решения по временной схеме электроснабжения.</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8.4.23. Предусмотреть восстановление асфальтобетонного покрытия (при его повреждении).</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8.4.24. Выполнить демонтаж существующих опор и фундаментов, арматуры и изоляции ВЛ согласно п. 8.4.1. Обеспечить вывоз металлоконструкций и фундаментов.</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8.4.25. Обеспечить нанесение нумерации и знаков безопасности на вновь устанавливаемые опоры и кабельный участок переустраиваемой КВЛ, с учётом требований ПУЭ (7-е издание) и других действующих НТД.</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8.4.26.  Выполнить расчет термической стойкости экранов кабелей. На основании расчетов определить необходимость установки второго комплекта основных защит для указанных КВЛ.</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8.5.</w:t>
        <w:tab/>
        <w:t>Технические решения выполнить в соответствии с требованиями ПУЭ (7-ое издание), действующими НТД, инструкциями завода-изготовителя силового кабеля и арматуры.</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8.6.</w:t>
        <w:tab/>
        <w:t>При выборе трассы руководствоваться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8.7.</w:t>
        <w:tab/>
        <w:t>Прочие условия для строящейся ЛЭП:</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8.7.1.</w:t>
        <w:tab/>
        <w:t>Предусмотреть доступ к коробкам заземления экранов и ОПН.</w:t>
      </w:r>
    </w:p>
    <w:p>
      <w:pPr>
        <w:pStyle w:val="Normal"/>
        <w:widowControl w:val="false"/>
        <w:spacing w:before="0" w:after="0"/>
        <w:ind w:firstLine="709"/>
        <w:contextualSpacing/>
        <w:rPr>
          <w:highlight w:val="none"/>
          <w:shd w:fill="auto" w:val="clear"/>
        </w:rPr>
      </w:pPr>
      <w:r>
        <w:rPr>
          <w:rFonts w:cs="Liberation Serif" w:ascii="Liberation Serif" w:hAnsi="Liberation Serif"/>
          <w:color w:val="000000" w:themeColor="text1"/>
          <w:sz w:val="25"/>
          <w:szCs w:val="25"/>
          <w:shd w:fill="auto" w:val="clear"/>
        </w:rPr>
        <w:t>8.7</w:t>
      </w:r>
      <w:bookmarkStart w:id="0" w:name="_GoBack"/>
      <w:bookmarkEnd w:id="0"/>
      <w:r>
        <w:rPr>
          <w:rFonts w:cs="Liberation Serif" w:ascii="Liberation Serif" w:hAnsi="Liberation Serif"/>
          <w:color w:val="000000" w:themeColor="text1"/>
          <w:sz w:val="25"/>
          <w:szCs w:val="25"/>
          <w:shd w:fill="auto" w:val="clear"/>
        </w:rPr>
        <w:t>.2. При выполнении ПНР произвести измерения частичных разрядов согласно требований Инструкции по объему и периодичности испытаний кабелей 6-110 кВ с изоляцией из сшитого полиэтилена И-ИСМ-6.3-01.08-4384.</w:t>
      </w:r>
    </w:p>
    <w:p>
      <w:pPr>
        <w:pStyle w:val="Normal"/>
        <w:widowControl w:val="false"/>
        <w:spacing w:before="0" w:after="0"/>
        <w:ind w:firstLine="709"/>
        <w:contextualSpacing/>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widowControl w:val="false"/>
        <w:spacing w:before="0" w:after="0"/>
        <w:ind w:firstLine="709"/>
        <w:contextualSpacing/>
        <w:jc w:val="center"/>
        <w:rPr>
          <w:rFonts w:ascii="Liberation Serif" w:hAnsi="Liberation Serif" w:cs="Liberation Serif"/>
          <w:b/>
          <w:bCs/>
          <w:color w:val="000000" w:themeColor="text1"/>
          <w:sz w:val="25"/>
          <w:szCs w:val="25"/>
          <w:highlight w:val="none"/>
          <w:shd w:fill="auto" w:val="clear"/>
        </w:rPr>
      </w:pPr>
      <w:r>
        <w:rPr>
          <w:rFonts w:cs="Liberation Serif" w:ascii="Liberation Serif" w:hAnsi="Liberation Serif"/>
          <w:b/>
          <w:bCs/>
          <w:color w:val="000000" w:themeColor="text1"/>
          <w:sz w:val="25"/>
          <w:szCs w:val="25"/>
          <w:shd w:fill="auto" w:val="clear"/>
        </w:rPr>
      </w:r>
    </w:p>
    <w:p>
      <w:pPr>
        <w:pStyle w:val="Normal"/>
        <w:rPr>
          <w:rFonts w:ascii="Liberation Serif" w:hAnsi="Liberation Serif" w:cs="Liberation Serif"/>
          <w:color w:val="000000" w:themeColor="text1"/>
          <w:sz w:val="25"/>
          <w:szCs w:val="25"/>
          <w:highlight w:val="none"/>
          <w:shd w:fill="auto" w:val="clear"/>
        </w:rPr>
      </w:pPr>
      <w:r>
        <w:rPr>
          <w:rFonts w:cs="Liberation Serif" w:ascii="Liberation Serif" w:hAnsi="Liberation Serif"/>
          <w:color w:val="000000" w:themeColor="text1"/>
          <w:sz w:val="25"/>
          <w:szCs w:val="25"/>
          <w:shd w:fill="auto" w:val="clear"/>
        </w:rPr>
      </w:r>
    </w:p>
    <w:p>
      <w:pPr>
        <w:pStyle w:val="Normal"/>
        <w:rPr>
          <w:rFonts w:ascii="Liberation Serif" w:hAnsi="Liberation Serif"/>
          <w:color w:val="000000" w:themeColor="text1"/>
          <w:sz w:val="25"/>
          <w:szCs w:val="25"/>
          <w:highlight w:val="none"/>
          <w:shd w:fill="auto" w:val="clear"/>
        </w:rPr>
      </w:pPr>
      <w:r>
        <w:rPr>
          <w:rFonts w:ascii="Liberation Serif" w:hAnsi="Liberation Serif"/>
          <w:color w:val="000000" w:themeColor="text1"/>
          <w:sz w:val="25"/>
          <w:szCs w:val="25"/>
          <w:shd w:fill="auto" w:val="clear"/>
        </w:rPr>
      </w:r>
    </w:p>
    <w:p>
      <w:pPr>
        <w:pStyle w:val="Normal"/>
        <w:rPr>
          <w:highlight w:val="none"/>
          <w:shd w:fill="auto" w:val="clear"/>
        </w:rPr>
      </w:pPr>
      <w:r>
        <w:rPr>
          <w:shd w:fill="auto" w:val="clear"/>
        </w:rPr>
      </w:r>
    </w:p>
    <w:sectPr>
      <w:type w:val="nextPage"/>
      <w:pgSz w:w="11906" w:h="16838"/>
      <w:pgMar w:left="1134" w:right="567" w:gutter="0" w:header="0" w:top="1134" w:footer="0" w:bottom="9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Segoe UI">
    <w:charset w:val="cc"/>
    <w:family w:val="roman"/>
    <w:pitch w:val="variable"/>
  </w:font>
  <w:font w:name="Liberation Sans">
    <w:altName w:val="Arial"/>
    <w:charset w:val="cc"/>
    <w:family w:val="roman"/>
    <w:pitch w:val="variable"/>
  </w:font>
  <w:font w:name="Verdana">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decimal"/>
      <w:lvlText w:val="%1."/>
      <w:lvlJc w:val="left"/>
      <w:pPr>
        <w:tabs>
          <w:tab w:val="num" w:pos="720"/>
        </w:tabs>
        <w:ind w:left="720" w:hanging="360"/>
      </w:pPr>
      <w:rPr/>
    </w:lvl>
    <w:lvl w:ilvl="1">
      <w:start w:val="8"/>
      <w:numFmt w:val="decimal"/>
      <w:lvlText w:val="%1.%2"/>
      <w:lvlJc w:val="left"/>
      <w:pPr>
        <w:tabs>
          <w:tab w:val="num" w:pos="1290"/>
        </w:tabs>
        <w:ind w:left="1290" w:hanging="930"/>
      </w:pPr>
      <w:rPr/>
    </w:lvl>
    <w:lvl w:ilvl="2">
      <w:start w:val="1"/>
      <w:numFmt w:val="decimal"/>
      <w:lvlText w:val="%1.%2.%3"/>
      <w:lvlJc w:val="left"/>
      <w:pPr>
        <w:tabs>
          <w:tab w:val="num" w:pos="1290"/>
        </w:tabs>
        <w:ind w:left="1290" w:hanging="930"/>
      </w:pPr>
      <w:rPr/>
    </w:lvl>
    <w:lvl w:ilvl="3">
      <w:start w:val="1"/>
      <w:numFmt w:val="decimal"/>
      <w:lvlText w:val="%1.%2.%3.%4"/>
      <w:lvlJc w:val="left"/>
      <w:pPr>
        <w:tabs>
          <w:tab w:val="num" w:pos="1290"/>
        </w:tabs>
        <w:ind w:left="1290" w:hanging="930"/>
      </w:pPr>
      <w:rPr/>
    </w:lvl>
    <w:lvl w:ilvl="4">
      <w:start w:val="1"/>
      <w:numFmt w:val="decimal"/>
      <w:lvlText w:val="%1.%2.%3.%4.%5"/>
      <w:lvlJc w:val="left"/>
      <w:pPr>
        <w:tabs>
          <w:tab w:val="num" w:pos="1440"/>
        </w:tabs>
        <w:ind w:left="1440" w:hanging="1080"/>
      </w:pPr>
      <w:rPr/>
    </w:lvl>
    <w:lvl w:ilvl="5">
      <w:start w:val="1"/>
      <w:numFmt w:val="decimal"/>
      <w:lvlText w:val="%1.%2.%3.%4.%5.%6"/>
      <w:lvlJc w:val="left"/>
      <w:pPr>
        <w:tabs>
          <w:tab w:val="num" w:pos="1440"/>
        </w:tabs>
        <w:ind w:left="1440" w:hanging="1080"/>
      </w:pPr>
      <w:rPr/>
    </w:lvl>
    <w:lvl w:ilvl="6">
      <w:start w:val="1"/>
      <w:numFmt w:val="decimal"/>
      <w:lvlText w:val="%1.%2.%3.%4.%5.%6.%7"/>
      <w:lvlJc w:val="left"/>
      <w:pPr>
        <w:tabs>
          <w:tab w:val="num" w:pos="1800"/>
        </w:tabs>
        <w:ind w:left="1800" w:hanging="1440"/>
      </w:pPr>
      <w:rPr/>
    </w:lvl>
    <w:lvl w:ilvl="7">
      <w:start w:val="1"/>
      <w:numFmt w:val="decimal"/>
      <w:lvlText w:val="%1.%2.%3.%4.%5.%6.%7.%8"/>
      <w:lvlJc w:val="left"/>
      <w:pPr>
        <w:tabs>
          <w:tab w:val="num" w:pos="1800"/>
        </w:tabs>
        <w:ind w:left="1800" w:hanging="1440"/>
      </w:pPr>
      <w:rPr/>
    </w:lvl>
    <w:lvl w:ilvl="8">
      <w:start w:val="1"/>
      <w:numFmt w:val="decimal"/>
      <w:lvlText w:val="%1.%2.%3.%4.%5.%6.%7.%8.%9"/>
      <w:lvlJc w:val="left"/>
      <w:pPr>
        <w:tabs>
          <w:tab w:val="num" w:pos="2160"/>
        </w:tabs>
        <w:ind w:left="2160" w:hanging="1800"/>
      </w:pPr>
      <w:rPr/>
    </w:lvl>
  </w:abstractNum>
  <w:abstractNum w:abstractNumId="2">
    <w:lvl w:ilvl="0">
      <w:start w:val="6"/>
      <w:numFmt w:val="decimal"/>
      <w:lvlText w:val="%1."/>
      <w:lvlJc w:val="left"/>
      <w:pPr>
        <w:tabs>
          <w:tab w:val="num" w:pos="720"/>
        </w:tabs>
        <w:ind w:left="720" w:hanging="360"/>
      </w:pPr>
      <w:rPr/>
    </w:lvl>
    <w:lvl w:ilvl="1">
      <w:start w:val="7"/>
      <w:numFmt w:val="decimal"/>
      <w:lvlText w:val="%1.%2."/>
      <w:lvlJc w:val="left"/>
      <w:pPr>
        <w:tabs>
          <w:tab w:val="num" w:pos="0"/>
        </w:tabs>
        <w:ind w:left="1320" w:hanging="720"/>
      </w:pPr>
      <w:rPr>
        <w:sz w:val="26"/>
      </w:rPr>
    </w:lvl>
    <w:lvl w:ilvl="2">
      <w:start w:val="1"/>
      <w:numFmt w:val="decimal"/>
      <w:lvlText w:val="%1.%2.%3."/>
      <w:lvlJc w:val="left"/>
      <w:pPr>
        <w:tabs>
          <w:tab w:val="num" w:pos="0"/>
        </w:tabs>
        <w:ind w:left="1560" w:hanging="720"/>
      </w:pPr>
      <w:rPr>
        <w:sz w:val="26"/>
      </w:rPr>
    </w:lvl>
    <w:lvl w:ilvl="3">
      <w:start w:val="1"/>
      <w:numFmt w:val="decimal"/>
      <w:lvlText w:val="%1.%2.%3.%4."/>
      <w:lvlJc w:val="left"/>
      <w:pPr>
        <w:tabs>
          <w:tab w:val="num" w:pos="0"/>
        </w:tabs>
        <w:ind w:left="2160" w:hanging="1080"/>
      </w:pPr>
      <w:rPr>
        <w:sz w:val="26"/>
      </w:rPr>
    </w:lvl>
    <w:lvl w:ilvl="4">
      <w:start w:val="1"/>
      <w:numFmt w:val="decimal"/>
      <w:lvlText w:val="%1.%2.%3.%4.%5."/>
      <w:lvlJc w:val="left"/>
      <w:pPr>
        <w:tabs>
          <w:tab w:val="num" w:pos="0"/>
        </w:tabs>
        <w:ind w:left="2400" w:hanging="1080"/>
      </w:pPr>
      <w:rPr>
        <w:sz w:val="26"/>
      </w:rPr>
    </w:lvl>
    <w:lvl w:ilvl="5">
      <w:start w:val="1"/>
      <w:numFmt w:val="decimal"/>
      <w:lvlText w:val="%1.%2.%3.%4.%5.%6."/>
      <w:lvlJc w:val="left"/>
      <w:pPr>
        <w:tabs>
          <w:tab w:val="num" w:pos="0"/>
        </w:tabs>
        <w:ind w:left="3000" w:hanging="1440"/>
      </w:pPr>
      <w:rPr>
        <w:sz w:val="26"/>
      </w:rPr>
    </w:lvl>
    <w:lvl w:ilvl="6">
      <w:start w:val="1"/>
      <w:numFmt w:val="decimal"/>
      <w:lvlText w:val="%1.%2.%3.%4.%5.%6.%7."/>
      <w:lvlJc w:val="left"/>
      <w:pPr>
        <w:tabs>
          <w:tab w:val="num" w:pos="0"/>
        </w:tabs>
        <w:ind w:left="3240" w:hanging="1440"/>
      </w:pPr>
      <w:rPr>
        <w:sz w:val="26"/>
      </w:rPr>
    </w:lvl>
    <w:lvl w:ilvl="7">
      <w:start w:val="1"/>
      <w:numFmt w:val="decimal"/>
      <w:lvlText w:val="%1.%2.%3.%4.%5.%6.%7.%8."/>
      <w:lvlJc w:val="left"/>
      <w:pPr>
        <w:tabs>
          <w:tab w:val="num" w:pos="0"/>
        </w:tabs>
        <w:ind w:left="3840" w:hanging="1800"/>
      </w:pPr>
      <w:rPr>
        <w:sz w:val="26"/>
      </w:rPr>
    </w:lvl>
    <w:lvl w:ilvl="8">
      <w:start w:val="1"/>
      <w:numFmt w:val="decimal"/>
      <w:lvlText w:val="%1.%2.%3.%4.%5.%6.%7.%8.%9."/>
      <w:lvlJc w:val="left"/>
      <w:pPr>
        <w:tabs>
          <w:tab w:val="num" w:pos="0"/>
        </w:tabs>
        <w:ind w:left="4080" w:hanging="1800"/>
      </w:pPr>
      <w:rPr>
        <w:sz w:val="26"/>
      </w:rPr>
    </w:lvl>
  </w:abstractNum>
  <w:abstractNum w:abstractNumId="3">
    <w:lvl w:ilvl="0">
      <w:start w:val="1"/>
      <w:numFmt w:val="bullet"/>
      <w:lvlText w:val=""/>
      <w:lvlJc w:val="left"/>
      <w:pPr>
        <w:tabs>
          <w:tab w:val="num" w:pos="0"/>
        </w:tabs>
        <w:ind w:left="928" w:hanging="360"/>
      </w:pPr>
      <w:rPr>
        <w:rFonts w:ascii="Symbol" w:hAnsi="Symbol" w:cs="Symbol" w:hint="default"/>
        <w:sz w:val="25"/>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60" w:after="0"/>
      <w:jc w:val="both"/>
    </w:pPr>
    <w:rPr>
      <w:rFonts w:ascii="Times New Roman" w:hAnsi="Times New Roman" w:eastAsia="Times New Roman" w:cs="Times New Roman"/>
      <w:color w:val="00000A"/>
      <w:kern w:val="0"/>
      <w:sz w:val="26"/>
      <w:szCs w:val="20"/>
      <w:lang w:val="ru-RU" w:eastAsia="ru-RU" w:bidi="ar-SA"/>
    </w:rPr>
  </w:style>
  <w:style w:type="paragraph" w:styleId="1">
    <w:name w:val="Heading 1"/>
    <w:basedOn w:val="Normal"/>
    <w:uiPriority w:val="9"/>
    <w:qFormat/>
    <w:pPr>
      <w:keepNext w:val="true"/>
      <w:keepLines/>
      <w:spacing w:before="240" w:after="0"/>
      <w:outlineLvl w:val="0"/>
    </w:pPr>
    <w:rPr>
      <w:rFonts w:ascii="Calibri Light" w:hAnsi="Calibri Light" w:eastAsia="等线 Light" w:cs="Arial" w:asciiTheme="majorHAnsi" w:cstheme="majorBidi" w:eastAsiaTheme="majorEastAsia" w:hAnsiTheme="majorHAnsi"/>
      <w:color w:val="2E74B5" w:themeColor="accent1" w:themeShade="bf"/>
      <w:sz w:val="32"/>
      <w:szCs w:val="32"/>
    </w:rPr>
  </w:style>
  <w:style w:type="character" w:styleId="DefaultParagraphFont" w:default="1">
    <w:name w:val="Default Paragraph Font"/>
    <w:uiPriority w:val="1"/>
    <w:semiHidden/>
    <w:unhideWhenUsed/>
    <w:qFormat/>
    <w:rPr/>
  </w:style>
  <w:style w:type="character" w:styleId="Style13" w:customStyle="1">
    <w:name w:val="Текст выноски Знак"/>
    <w:basedOn w:val="DefaultParagraphFont"/>
    <w:uiPriority w:val="99"/>
    <w:semiHidden/>
    <w:qFormat/>
    <w:rPr>
      <w:rFonts w:ascii="Segoe UI" w:hAnsi="Segoe UI" w:eastAsia="Times New Roman" w:cs="Segoe UI"/>
      <w:sz w:val="18"/>
      <w:szCs w:val="18"/>
      <w:lang w:eastAsia="ru-RU"/>
    </w:rPr>
  </w:style>
  <w:style w:type="character" w:styleId="Annotationreference">
    <w:name w:val="annotation reference"/>
    <w:basedOn w:val="DefaultParagraphFont"/>
    <w:uiPriority w:val="99"/>
    <w:semiHidden/>
    <w:unhideWhenUsed/>
    <w:qFormat/>
    <w:rPr>
      <w:sz w:val="16"/>
      <w:szCs w:val="16"/>
    </w:rPr>
  </w:style>
  <w:style w:type="character" w:styleId="Style14" w:customStyle="1">
    <w:name w:val="Текст примечания Знак"/>
    <w:basedOn w:val="DefaultParagraphFont"/>
    <w:uiPriority w:val="99"/>
    <w:semiHidden/>
    <w:qFormat/>
    <w:rPr>
      <w:rFonts w:ascii="Times New Roman" w:hAnsi="Times New Roman" w:eastAsia="Times New Roman" w:cs="Times New Roman"/>
      <w:sz w:val="20"/>
      <w:szCs w:val="20"/>
      <w:lang w:eastAsia="ru-RU"/>
    </w:rPr>
  </w:style>
  <w:style w:type="character" w:styleId="Style15" w:customStyle="1">
    <w:name w:val="Тема примечания Знак"/>
    <w:basedOn w:val="Style14"/>
    <w:uiPriority w:val="99"/>
    <w:semiHidden/>
    <w:qFormat/>
    <w:rPr>
      <w:rFonts w:ascii="Times New Roman" w:hAnsi="Times New Roman" w:eastAsia="Times New Roman" w:cs="Times New Roman"/>
      <w:b/>
      <w:bCs/>
      <w:sz w:val="20"/>
      <w:szCs w:val="20"/>
      <w:lang w:eastAsia="ru-RU"/>
    </w:rPr>
  </w:style>
  <w:style w:type="character" w:styleId="11" w:customStyle="1">
    <w:name w:val="Заголовок 1 Знак"/>
    <w:basedOn w:val="DefaultParagraphFont"/>
    <w:uiPriority w:val="9"/>
    <w:qFormat/>
    <w:rPr>
      <w:rFonts w:ascii="Calibri Light" w:hAnsi="Calibri Light" w:eastAsia="等线 Light" w:cs="Arial" w:asciiTheme="majorHAnsi" w:cstheme="majorBidi" w:eastAsiaTheme="majorEastAsia" w:hAnsiTheme="majorHAnsi"/>
      <w:color w:val="2E74B5" w:themeColor="accent1" w:themeShade="bf"/>
      <w:sz w:val="32"/>
      <w:szCs w:val="32"/>
      <w:lang w:eastAsia="ru-RU"/>
    </w:rPr>
  </w:style>
  <w:style w:type="character" w:styleId="Style16" w:customStyle="1">
    <w:name w:val="Абзац списка Знак"/>
    <w:uiPriority w:val="34"/>
    <w:qFormat/>
    <w:locked/>
    <w:rPr>
      <w:rFonts w:ascii="Times New Roman" w:hAnsi="Times New Roman" w:eastAsia="Times New Roman" w:cs="Times New Roman"/>
      <w:sz w:val="26"/>
      <w:szCs w:val="20"/>
      <w:lang w:eastAsia="ru-RU"/>
    </w:rPr>
  </w:style>
  <w:style w:type="character" w:styleId="Style17" w:customStyle="1">
    <w:name w:val="Основной текст с отступом Знак"/>
    <w:basedOn w:val="DefaultParagraphFont"/>
    <w:uiPriority w:val="99"/>
    <w:qFormat/>
    <w:rPr>
      <w:rFonts w:ascii="Times New Roman" w:hAnsi="Times New Roman" w:eastAsia="Times New Roman" w:cs="Times New Roman"/>
      <w:szCs w:val="20"/>
      <w:lang w:eastAsia="ru-RU"/>
    </w:rPr>
  </w:style>
  <w:style w:type="character" w:styleId="12" w:customStyle="1">
    <w:name w:val="Номер строки1"/>
    <w:qFormat/>
    <w:rPr/>
  </w:style>
  <w:style w:type="paragraph" w:styleId="Style18">
    <w:name w:val="Заголовок"/>
    <w:basedOn w:val="Normal"/>
    <w:next w:val="Style19"/>
    <w:qFormat/>
    <w:pPr>
      <w:keepNext w:val="true"/>
      <w:spacing w:before="240" w:after="120"/>
    </w:pPr>
    <w:rPr>
      <w:rFonts w:ascii="Liberation Sans" w:hAnsi="Liberation Sans" w:eastAsia="Tahoma" w:cs="Lohit Devanagari"/>
      <w:sz w:val="28"/>
      <w:szCs w:val="28"/>
    </w:rPr>
  </w:style>
  <w:style w:type="paragraph" w:styleId="Style19">
    <w:name w:val="Body Text"/>
    <w:basedOn w:val="Normal"/>
    <w:pPr>
      <w:spacing w:lineRule="auto" w:line="288" w:before="0" w:after="140"/>
    </w:pPr>
    <w:rPr/>
  </w:style>
  <w:style w:type="paragraph" w:styleId="Style20">
    <w:name w:val="List"/>
    <w:basedOn w:val="Style19"/>
    <w:pPr/>
    <w:rPr>
      <w:rFonts w:cs="Lohit Devanagari"/>
    </w:rPr>
  </w:style>
  <w:style w:type="paragraph" w:styleId="Style21">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rPr>
  </w:style>
  <w:style w:type="paragraph" w:styleId="Style23">
    <w:name w:val="Title"/>
    <w:basedOn w:val="Normal"/>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ascii="Calibri" w:hAnsi="Calibri" w:cs="Lohit Devanagari"/>
    </w:rPr>
  </w:style>
  <w:style w:type="paragraph" w:styleId="Caption11" w:customStyle="1">
    <w:name w:val="caption11"/>
    <w:basedOn w:val="Normal"/>
    <w:qFormat/>
    <w:pPr>
      <w:suppressLineNumbers/>
      <w:spacing w:before="120" w:after="120"/>
    </w:pPr>
    <w:rPr>
      <w:rFonts w:cs="Lohit Devanagari"/>
      <w:i/>
      <w:iCs/>
      <w:sz w:val="24"/>
      <w:szCs w:val="24"/>
    </w:rPr>
  </w:style>
  <w:style w:type="paragraph" w:styleId="Caption111" w:customStyle="1">
    <w:name w:val="caption111"/>
    <w:basedOn w:val="Normal"/>
    <w:qFormat/>
    <w:pPr>
      <w:suppressLineNumbers/>
      <w:spacing w:before="120" w:after="120"/>
    </w:pPr>
    <w:rPr>
      <w:rFonts w:cs="Lohit Devanagari"/>
      <w:i/>
      <w:iCs/>
      <w:sz w:val="24"/>
      <w:szCs w:val="24"/>
    </w:rPr>
  </w:style>
  <w:style w:type="paragraph" w:styleId="Caption1111" w:customStyle="1">
    <w:name w:val="caption1111"/>
    <w:basedOn w:val="Normal"/>
    <w:qFormat/>
    <w:pPr>
      <w:suppressLineNumbers/>
      <w:spacing w:before="120" w:after="120"/>
    </w:pPr>
    <w:rPr>
      <w:rFonts w:ascii="Calibri" w:hAnsi="Calibri" w:cs="Lohit Devanagari"/>
      <w:i/>
      <w:iCs/>
      <w:sz w:val="24"/>
      <w:szCs w:val="24"/>
    </w:rPr>
  </w:style>
  <w:style w:type="paragraph" w:styleId="BalloonText">
    <w:name w:val="Balloon Text"/>
    <w:basedOn w:val="Normal"/>
    <w:uiPriority w:val="99"/>
    <w:semiHidden/>
    <w:unhideWhenUsed/>
    <w:qFormat/>
    <w:pPr>
      <w:spacing w:before="0" w:after="0"/>
    </w:pPr>
    <w:rPr>
      <w:rFonts w:ascii="Segoe UI" w:hAnsi="Segoe UI" w:cs="Segoe UI"/>
      <w:sz w:val="18"/>
      <w:szCs w:val="18"/>
    </w:rPr>
  </w:style>
  <w:style w:type="paragraph" w:styleId="ListParagraph">
    <w:name w:val="List Paragraph"/>
    <w:basedOn w:val="Normal"/>
    <w:uiPriority w:val="34"/>
    <w:qFormat/>
    <w:pPr>
      <w:spacing w:before="60" w:after="0"/>
      <w:ind w:left="720" w:hanging="0"/>
      <w:contextualSpacing/>
    </w:pPr>
    <w:rPr/>
  </w:style>
  <w:style w:type="paragraph" w:styleId="Annotationtext">
    <w:name w:val="annotation text"/>
    <w:basedOn w:val="Normal"/>
    <w:uiPriority w:val="99"/>
    <w:semiHidden/>
    <w:unhideWhenUsed/>
    <w:qFormat/>
    <w:pPr/>
    <w:rPr>
      <w:sz w:val="20"/>
    </w:rPr>
  </w:style>
  <w:style w:type="paragraph" w:styleId="Annotationsubject">
    <w:name w:val="annotation subject"/>
    <w:basedOn w:val="Annotationtext"/>
    <w:uiPriority w:val="99"/>
    <w:semiHidden/>
    <w:unhideWhenUsed/>
    <w:qFormat/>
    <w:pPr/>
    <w:rPr>
      <w:b/>
      <w:bCs/>
    </w:rPr>
  </w:style>
  <w:style w:type="paragraph" w:styleId="Style24" w:customStyle="1">
    <w:name w:val="Знак Знак Знак Знак Знак Знак"/>
    <w:basedOn w:val="Normal"/>
    <w:qFormat/>
    <w:pPr>
      <w:spacing w:lineRule="exact" w:line="240" w:before="0" w:after="160"/>
    </w:pPr>
    <w:rPr>
      <w:rFonts w:ascii="Verdana" w:hAnsi="Verdana"/>
      <w:sz w:val="20"/>
      <w:lang w:val="en-US" w:eastAsia="en-US"/>
    </w:rPr>
  </w:style>
  <w:style w:type="paragraph" w:styleId="Style25">
    <w:name w:val="Body Text Indent"/>
    <w:basedOn w:val="Normal"/>
    <w:uiPriority w:val="99"/>
    <w:pPr>
      <w:spacing w:before="60" w:after="120"/>
      <w:ind w:left="283" w:hanging="0"/>
      <w:jc w:val="left"/>
    </w:pPr>
    <w:rPr>
      <w:sz w:val="22"/>
    </w:rPr>
  </w:style>
  <w:style w:type="numbering" w:styleId="NoList" w:default="1">
    <w:name w:val="No List"/>
    <w:uiPriority w:val="99"/>
    <w:semiHidden/>
    <w:unhideWhenUsed/>
    <w:qFormat/>
  </w:style>
  <w:style w:type="table" w:default="1" w:styleId="a1">
    <w:name w:val="Normal Table"/>
    <w:uiPriority w:val="99"/>
    <w:semiHidden/>
    <w:unhideWhenUsed/>
    <w:tblPr>
      <w:tblCellMar>
        <w:left w:w="108" w:type="dxa"/>
        <w:top w:w="0" w:type="dxa"/>
        <w:right w:w="108" w:type="dxa"/>
        <w:bottom w:w="0" w:type="dxa"/>
      </w:tblCellMar>
    </w:tblPr>
  </w:style>
  <w:style w:type="table" w:styleId="af4">
    <w:name w:val="Table Grid"/>
    <w:basedOn w:val="a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Arial"/>
        <a:cs typeface="Arial"/>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Arial"/>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1095</TotalTime>
  <Application>LibreOffice/7.5.5.2$Windows_X86_64 LibreOffice_project/ca8fe7424262805f223b9a2334bc7181abbcbf5e</Application>
  <AppVersion>15.0000</AppVersion>
  <Pages>12</Pages>
  <Words>4452</Words>
  <Characters>31017</Characters>
  <CharactersWithSpaces>35307</CharactersWithSpaces>
  <Paragraphs>239</Paragraphs>
  <Company>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2024-04-09T07:53:00Z</dcterms:created>
  <dc:creator>Коваленко Александр Олегович</dc:creator>
  <dc:description/>
  <dc:language>ru-RU</dc:language>
  <cp:lastModifiedBy/>
  <cp:lastPrinted>2022-04-04T04:59:00Z</cp:lastPrinted>
  <dcterms:modified xsi:type="dcterms:W3CDTF">2025-02-28T14:59:30Z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